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42" w:rsidRPr="001D18F3" w:rsidRDefault="00C85142" w:rsidP="002A74F3">
      <w:pPr>
        <w:pStyle w:val="NormalWeb"/>
        <w:shd w:val="clear" w:color="auto" w:fill="FFFFFF"/>
        <w:spacing w:before="0" w:beforeAutospacing="0" w:after="90" w:afterAutospacing="0"/>
        <w:jc w:val="both"/>
      </w:pPr>
      <w:r w:rsidRPr="001D18F3">
        <w:t>Уважаеми колеги,</w:t>
      </w:r>
    </w:p>
    <w:p w:rsidR="00C85142" w:rsidRPr="001D18F3" w:rsidRDefault="00C85142" w:rsidP="006743CD">
      <w:pPr>
        <w:pStyle w:val="NormalWeb"/>
        <w:shd w:val="clear" w:color="auto" w:fill="FFFFFF"/>
        <w:spacing w:before="90" w:after="90"/>
        <w:jc w:val="both"/>
      </w:pPr>
      <w:r w:rsidRPr="001D18F3">
        <w:t xml:space="preserve">Щастливи сме да Ви съобщим, че </w:t>
      </w:r>
      <w:r w:rsidR="008B0375" w:rsidRPr="008B0375">
        <w:t>Кръжокът по „Гражданско и търговско право“ към ЮФ на СУ „Св. Климент Охридски“, Кръжокът по „Гражданско и търговско право“ към ЮФ на УНСС, Департаментът по Право на Нов български университет, „Фондация Кристиан Таков, „Българска асоциация за Европейско право“, „Сдружение за международни състезания по право”, Съю</w:t>
      </w:r>
      <w:r w:rsidR="008B0375">
        <w:t xml:space="preserve">зът на съдиите в България, Висшият </w:t>
      </w:r>
      <w:r w:rsidR="008B0375" w:rsidRPr="008B0375">
        <w:t xml:space="preserve">адвокатски съвет, </w:t>
      </w:r>
      <w:proofErr w:type="spellStart"/>
      <w:r w:rsidR="008B0375" w:rsidRPr="008B0375">
        <w:t>ЛексАрт</w:t>
      </w:r>
      <w:proofErr w:type="spellEnd"/>
      <w:r w:rsidR="008B0375" w:rsidRPr="008B0375">
        <w:t xml:space="preserve"> – Практически обучения за юристи и Професионален правен сайт „Предизвикай правото“</w:t>
      </w:r>
      <w:r w:rsidR="008B0375">
        <w:t xml:space="preserve"> </w:t>
      </w:r>
    </w:p>
    <w:p w:rsidR="00E25CB4" w:rsidRPr="001D18F3" w:rsidRDefault="00E25CB4" w:rsidP="00E25CB4">
      <w:pPr>
        <w:pStyle w:val="NormalWeb"/>
        <w:shd w:val="clear" w:color="auto" w:fill="FFFFFF"/>
        <w:spacing w:before="90" w:beforeAutospacing="0" w:after="90" w:afterAutospacing="0"/>
        <w:jc w:val="both"/>
      </w:pPr>
    </w:p>
    <w:p w:rsidR="00C95317" w:rsidRPr="008B0375" w:rsidRDefault="00E25CB4" w:rsidP="00E25CB4">
      <w:pPr>
        <w:pStyle w:val="NormalWeb"/>
        <w:shd w:val="clear" w:color="auto" w:fill="FFFFFF"/>
        <w:spacing w:before="90" w:beforeAutospacing="0" w:after="90" w:afterAutospacing="0"/>
        <w:ind w:left="2832"/>
        <w:jc w:val="both"/>
        <w:rPr>
          <w:rStyle w:val="textexposedshow"/>
          <w:b/>
        </w:rPr>
      </w:pPr>
      <w:r w:rsidRPr="001D18F3">
        <w:t xml:space="preserve">              ОБЯВЯВАТ </w:t>
      </w:r>
      <w:r w:rsidRPr="001D18F3">
        <w:br/>
      </w:r>
    </w:p>
    <w:p w:rsidR="00C95317" w:rsidRPr="008B0375" w:rsidRDefault="00C95317" w:rsidP="00C95317">
      <w:pPr>
        <w:pStyle w:val="NormalWeb"/>
        <w:shd w:val="clear" w:color="auto" w:fill="FFFFFF"/>
        <w:spacing w:before="90" w:beforeAutospacing="0" w:after="90" w:afterAutospacing="0"/>
        <w:ind w:left="2124"/>
        <w:jc w:val="both"/>
        <w:rPr>
          <w:rStyle w:val="textexposedshow"/>
          <w:b/>
        </w:rPr>
      </w:pPr>
      <w:r w:rsidRPr="008B0375">
        <w:rPr>
          <w:rStyle w:val="textexposedshow"/>
          <w:b/>
        </w:rPr>
        <w:t xml:space="preserve">    </w:t>
      </w:r>
      <w:r w:rsidR="001D18F3" w:rsidRPr="008B0375">
        <w:rPr>
          <w:rStyle w:val="textexposedshow"/>
          <w:b/>
        </w:rPr>
        <w:t xml:space="preserve">   </w:t>
      </w:r>
      <w:r w:rsidRPr="008B0375">
        <w:rPr>
          <w:rStyle w:val="textexposedshow"/>
          <w:b/>
        </w:rPr>
        <w:t>В ЧЕСТ НА КРИСТИАН ТАКОВ</w:t>
      </w:r>
    </w:p>
    <w:p w:rsidR="00C85142" w:rsidRPr="001D18F3" w:rsidRDefault="00C85142" w:rsidP="00C95317">
      <w:pPr>
        <w:pStyle w:val="NormalWeb"/>
        <w:shd w:val="clear" w:color="auto" w:fill="FFFFFF"/>
        <w:spacing w:before="90" w:beforeAutospacing="0" w:after="90" w:afterAutospacing="0"/>
        <w:ind w:left="2832"/>
        <w:jc w:val="both"/>
        <w:rPr>
          <w:rStyle w:val="textexposedshow"/>
        </w:rPr>
      </w:pPr>
    </w:p>
    <w:p w:rsidR="002A74F3" w:rsidRPr="001D18F3" w:rsidRDefault="002A74F3" w:rsidP="002A74F3">
      <w:pPr>
        <w:pStyle w:val="NormalWeb"/>
        <w:shd w:val="clear" w:color="auto" w:fill="FFFFFF"/>
        <w:spacing w:before="90" w:beforeAutospacing="0" w:after="90" w:afterAutospacing="0"/>
        <w:ind w:left="2832"/>
        <w:jc w:val="both"/>
      </w:pPr>
    </w:p>
    <w:p w:rsidR="00C85142" w:rsidRPr="001D18F3" w:rsidRDefault="00C85142" w:rsidP="002A74F3">
      <w:pPr>
        <w:pStyle w:val="NormalWeb"/>
        <w:shd w:val="clear" w:color="auto" w:fill="FFFFFF"/>
        <w:spacing w:before="0" w:beforeAutospacing="0" w:after="90" w:afterAutospacing="0"/>
        <w:jc w:val="both"/>
      </w:pPr>
      <w:r w:rsidRPr="008B0375">
        <w:rPr>
          <w:b/>
        </w:rPr>
        <w:t>Национален конкурс</w:t>
      </w:r>
      <w:r w:rsidRPr="001D18F3">
        <w:t xml:space="preserve"> за научни съчинения на свободно избрана тема от областта на </w:t>
      </w:r>
      <w:r w:rsidR="006B5CDC" w:rsidRPr="001D18F3">
        <w:t xml:space="preserve">римското частно право, </w:t>
      </w:r>
      <w:r w:rsidRPr="001D18F3">
        <w:t xml:space="preserve">гражданското право, </w:t>
      </w:r>
      <w:r w:rsidR="002A74F3" w:rsidRPr="001D18F3">
        <w:t>вещното право, семейно</w:t>
      </w:r>
      <w:r w:rsidR="00813C19" w:rsidRPr="001D18F3">
        <w:t>то</w:t>
      </w:r>
      <w:r w:rsidR="002A74F3" w:rsidRPr="001D18F3">
        <w:t xml:space="preserve"> и наследствено</w:t>
      </w:r>
      <w:r w:rsidR="00813C19" w:rsidRPr="001D18F3">
        <w:t>то</w:t>
      </w:r>
      <w:r w:rsidR="002A74F3" w:rsidRPr="001D18F3">
        <w:t xml:space="preserve"> право, </w:t>
      </w:r>
      <w:bookmarkStart w:id="0" w:name="_GoBack"/>
      <w:r w:rsidRPr="001D18F3">
        <w:t xml:space="preserve">търговското </w:t>
      </w:r>
      <w:bookmarkEnd w:id="0"/>
      <w:r w:rsidRPr="001D18F3">
        <w:t>право, международн</w:t>
      </w:r>
      <w:r w:rsidR="00813C19" w:rsidRPr="001D18F3">
        <w:t xml:space="preserve">ото частно право, правото на ЕС, </w:t>
      </w:r>
      <w:r w:rsidRPr="001D18F3">
        <w:t>гражданскопроцесуалното право</w:t>
      </w:r>
      <w:r w:rsidR="00984C3E" w:rsidRPr="001D18F3">
        <w:t>, конституционното право</w:t>
      </w:r>
      <w:r w:rsidR="00813C19" w:rsidRPr="001D18F3">
        <w:t xml:space="preserve"> и право на интелектуалната собственост</w:t>
      </w:r>
      <w:r w:rsidRPr="001D18F3">
        <w:t>.</w:t>
      </w:r>
    </w:p>
    <w:p w:rsidR="00C85142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1D18F3">
        <w:t>Право на участие имат всички студенти от специалност „Право” в Юридическите факултети в страната.</w:t>
      </w:r>
      <w:r w:rsidR="00FB75F6" w:rsidRPr="001D18F3">
        <w:t xml:space="preserve"> </w:t>
      </w:r>
      <w:r w:rsidR="004A7EB2" w:rsidRPr="001D18F3">
        <w:t xml:space="preserve">Поради пропускането на една конкурсна година заради извънредната епидемична обстановка, по изключение се допускат и студенти, семестриално завършили през 2020 г., без значение дали са положили държавните си изпити. </w:t>
      </w:r>
    </w:p>
    <w:p w:rsidR="00984C3E" w:rsidRPr="001D18F3" w:rsidRDefault="00984C3E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en-US"/>
        </w:rPr>
      </w:pPr>
      <w:r w:rsidRPr="001D18F3">
        <w:t>Право да участват имат и завършили юристи, като те ще се състезават в сво</w:t>
      </w:r>
      <w:r w:rsidR="00FB75F6" w:rsidRPr="001D18F3">
        <w:t>й отделен</w:t>
      </w:r>
      <w:r w:rsidRPr="001D18F3">
        <w:t xml:space="preserve"> модул.</w:t>
      </w:r>
    </w:p>
    <w:p w:rsidR="00C85142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1D18F3">
        <w:t xml:space="preserve">В </w:t>
      </w:r>
      <w:r w:rsidR="004A7EB2" w:rsidRPr="001D18F3">
        <w:t>съчинението</w:t>
      </w:r>
      <w:r w:rsidRPr="001D18F3">
        <w:t xml:space="preserve"> следва да бъдат посочени трите имена</w:t>
      </w:r>
      <w:r w:rsidR="00984C3E" w:rsidRPr="001D18F3">
        <w:t xml:space="preserve"> на автора, факултетът </w:t>
      </w:r>
      <w:r w:rsidRPr="001D18F3">
        <w:t>и областта, в която пише. Съчинението трябва да бъде с максимален обем от 25 страници. Критериите за оценка може да видите по-долу. В журито на конкурса ще участват изтъкнати преподаватели от няколко Юридически факултета и утвърдени юристи от практиката, които ще дадат своите рецензии за всяка една работа.</w:t>
      </w:r>
    </w:p>
    <w:p w:rsidR="00813C19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1D18F3">
        <w:t xml:space="preserve">Победителите, класирани на първите места, ще получат награди на официалната церемония по награждаване и ще имат възможност да защитят своите тези на специално организираната за целта </w:t>
      </w:r>
      <w:r w:rsidRPr="001D18F3">
        <w:rPr>
          <w:b/>
        </w:rPr>
        <w:t>конференция</w:t>
      </w:r>
      <w:r w:rsidR="00813C19" w:rsidRPr="001D18F3">
        <w:rPr>
          <w:b/>
        </w:rPr>
        <w:t>, която всяка година ще се провежда в различен Юридически факултет</w:t>
      </w:r>
      <w:r w:rsidRPr="001D18F3">
        <w:t xml:space="preserve">. </w:t>
      </w:r>
    </w:p>
    <w:p w:rsidR="00C85142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lang w:val="en-US"/>
        </w:rPr>
      </w:pPr>
      <w:r w:rsidRPr="001D18F3">
        <w:t>Авторите на научните съчинения, класирани на първите 10 места в настоящия конкурс, могат да ги предложат за публикуване в електронно издание „Предизвикай правото!“ на следния електронен адрес: </w:t>
      </w:r>
      <w:hyperlink r:id="rId5" w:tgtFrame="_blank" w:history="1">
        <w:r w:rsidRPr="001D18F3">
          <w:t>predizvikaipravoto@gmail.com</w:t>
        </w:r>
      </w:hyperlink>
      <w:r w:rsidRPr="001D18F3">
        <w:t>, при спазване изискванията на изданието за публикуване на материали</w:t>
      </w:r>
      <w:r w:rsidRPr="001D18F3">
        <w:rPr>
          <w:lang w:val="en-US"/>
        </w:rPr>
        <w:t>.</w:t>
      </w:r>
    </w:p>
    <w:p w:rsidR="00C85142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1D18F3">
        <w:t xml:space="preserve">Оформяне на страниците: формат: А4; шрифт: </w:t>
      </w:r>
      <w:proofErr w:type="spellStart"/>
      <w:r w:rsidRPr="001D18F3">
        <w:t>Times</w:t>
      </w:r>
      <w:proofErr w:type="spellEnd"/>
      <w:r w:rsidRPr="001D18F3">
        <w:t xml:space="preserve"> New </w:t>
      </w:r>
      <w:proofErr w:type="spellStart"/>
      <w:r w:rsidRPr="001D18F3">
        <w:t>Roman</w:t>
      </w:r>
      <w:proofErr w:type="spellEnd"/>
      <w:r w:rsidRPr="001D18F3">
        <w:t xml:space="preserve">, 12 </w:t>
      </w:r>
      <w:proofErr w:type="spellStart"/>
      <w:r w:rsidRPr="001D18F3">
        <w:t>pt</w:t>
      </w:r>
      <w:proofErr w:type="spellEnd"/>
      <w:r w:rsidRPr="001D18F3">
        <w:t>,</w:t>
      </w:r>
      <w:r w:rsidRPr="001D18F3">
        <w:br/>
      </w:r>
      <w:proofErr w:type="spellStart"/>
      <w:r w:rsidRPr="001D18F3">
        <w:t>Regular</w:t>
      </w:r>
      <w:proofErr w:type="spellEnd"/>
      <w:r w:rsidRPr="001D18F3">
        <w:t xml:space="preserve">; подравняване: </w:t>
      </w:r>
      <w:proofErr w:type="spellStart"/>
      <w:r w:rsidRPr="001D18F3">
        <w:t>Justify</w:t>
      </w:r>
      <w:proofErr w:type="spellEnd"/>
      <w:r w:rsidRPr="001D18F3">
        <w:t xml:space="preserve">, междуредие: 1.5 </w:t>
      </w:r>
      <w:proofErr w:type="spellStart"/>
      <w:r w:rsidRPr="001D18F3">
        <w:t>Lines</w:t>
      </w:r>
      <w:proofErr w:type="spellEnd"/>
      <w:r w:rsidRPr="001D18F3">
        <w:t xml:space="preserve">; полета: </w:t>
      </w:r>
      <w:proofErr w:type="spellStart"/>
      <w:r w:rsidRPr="001D18F3">
        <w:t>Top</w:t>
      </w:r>
      <w:proofErr w:type="spellEnd"/>
      <w:r w:rsidRPr="001D18F3">
        <w:t xml:space="preserve">, </w:t>
      </w:r>
      <w:proofErr w:type="spellStart"/>
      <w:r w:rsidRPr="001D18F3">
        <w:t>Bottom</w:t>
      </w:r>
      <w:proofErr w:type="spellEnd"/>
      <w:r w:rsidRPr="001D18F3">
        <w:t xml:space="preserve">, </w:t>
      </w:r>
      <w:proofErr w:type="spellStart"/>
      <w:r w:rsidRPr="001D18F3">
        <w:t>Left</w:t>
      </w:r>
      <w:proofErr w:type="spellEnd"/>
      <w:r w:rsidRPr="001D18F3">
        <w:t xml:space="preserve"> и </w:t>
      </w:r>
      <w:proofErr w:type="spellStart"/>
      <w:r w:rsidRPr="001D18F3">
        <w:t>Right</w:t>
      </w:r>
      <w:proofErr w:type="spellEnd"/>
      <w:r w:rsidRPr="001D18F3">
        <w:t xml:space="preserve"> по 2.5 см; номериране на страниците: долу, вдясно.</w:t>
      </w:r>
    </w:p>
    <w:p w:rsidR="00C85142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1D18F3">
        <w:t xml:space="preserve">Крайният срок за участие е </w:t>
      </w:r>
      <w:r w:rsidR="001D18F3" w:rsidRPr="001D18F3">
        <w:t>27</w:t>
      </w:r>
      <w:r w:rsidR="00FB75F6" w:rsidRPr="001D18F3">
        <w:t xml:space="preserve"> </w:t>
      </w:r>
      <w:r w:rsidR="006B5CDC" w:rsidRPr="001D18F3">
        <w:t>март</w:t>
      </w:r>
      <w:r w:rsidRPr="001D18F3">
        <w:t xml:space="preserve"> 20</w:t>
      </w:r>
      <w:r w:rsidR="004A7EB2" w:rsidRPr="001D18F3">
        <w:t>2</w:t>
      </w:r>
      <w:r w:rsidR="006B5CDC" w:rsidRPr="001D18F3">
        <w:t>2</w:t>
      </w:r>
      <w:r w:rsidRPr="001D18F3">
        <w:t xml:space="preserve"> г.</w:t>
      </w:r>
    </w:p>
    <w:p w:rsidR="00C85142" w:rsidRPr="001D18F3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</w:pPr>
      <w:r w:rsidRPr="001D18F3">
        <w:t>За участие изпратете своята разработка на: saccl20</w:t>
      </w:r>
      <w:r w:rsidR="004A7EB2" w:rsidRPr="001D18F3">
        <w:t>21</w:t>
      </w:r>
      <w:r w:rsidRPr="001D18F3">
        <w:t>@abv.bg</w:t>
      </w:r>
    </w:p>
    <w:p w:rsidR="00C95317" w:rsidRDefault="00C95317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:rsidR="00813C19" w:rsidRDefault="00813C19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:rsidR="00813C19" w:rsidRPr="00813C19" w:rsidRDefault="00813C19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:rsidR="00813C19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813C19">
        <w:rPr>
          <w:color w:val="1D2129"/>
        </w:rPr>
        <w:t>Интернет страници:</w:t>
      </w:r>
    </w:p>
    <w:p w:rsidR="002A74F3" w:rsidRPr="00813C19" w:rsidRDefault="00C85142" w:rsidP="00813C19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813C19">
        <w:rPr>
          <w:color w:val="1D2129"/>
        </w:rPr>
        <w:br/>
      </w:r>
      <w:hyperlink r:id="rId6" w:history="1">
        <w:r w:rsidR="002A74F3" w:rsidRPr="00813C19">
          <w:rPr>
            <w:rStyle w:val="Hyperlink"/>
          </w:rPr>
          <w:t>https://www.smsp.bg/competitions/</w:t>
        </w:r>
      </w:hyperlink>
    </w:p>
    <w:p w:rsidR="00C85142" w:rsidRPr="00813C19" w:rsidRDefault="008B0375" w:rsidP="00C85142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color w:val="365899"/>
          <w:u w:val="none"/>
        </w:rPr>
      </w:pPr>
      <w:hyperlink r:id="rId7" w:tgtFrame="_blank" w:history="1">
        <w:r w:rsidR="00C85142" w:rsidRPr="00813C19">
          <w:rPr>
            <w:rStyle w:val="Hyperlink"/>
            <w:color w:val="365899"/>
            <w:u w:val="none"/>
          </w:rPr>
          <w:t>https://www.challengingthelaw.com</w:t>
        </w:r>
      </w:hyperlink>
    </w:p>
    <w:p w:rsidR="002A74F3" w:rsidRPr="00813C19" w:rsidRDefault="002A74F3" w:rsidP="00C85142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85142" w:rsidRPr="00813C19" w:rsidRDefault="00C85142" w:rsidP="00C85142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13C19">
        <w:rPr>
          <w:color w:val="1D2129"/>
        </w:rPr>
        <w:t>КРИТЕРИИ ЗА ОЦЕНКА</w:t>
      </w:r>
    </w:p>
    <w:p w:rsidR="00C85142" w:rsidRPr="00813C19" w:rsidRDefault="00C85142" w:rsidP="00C85142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13C19">
        <w:rPr>
          <w:color w:val="1D2129"/>
        </w:rPr>
        <w:t>1. Съдържателни – общо: 60 т., разпределени, както следва:</w:t>
      </w:r>
      <w:r w:rsidRPr="00813C19">
        <w:rPr>
          <w:color w:val="1D2129"/>
        </w:rPr>
        <w:br/>
        <w:t>- Цялостно структуриран и последователен подход при анализа – 20 т.;</w:t>
      </w:r>
      <w:r w:rsidRPr="00813C19">
        <w:rPr>
          <w:color w:val="1D2129"/>
        </w:rPr>
        <w:br/>
        <w:t>- Задълбочен и подробен анализ на поставените правните проблеми – 15 т.;</w:t>
      </w:r>
      <w:r w:rsidRPr="00813C19">
        <w:rPr>
          <w:color w:val="1D2129"/>
        </w:rPr>
        <w:br/>
        <w:t>- Обосноваване на правни изводи и разглеждане на свързани проблеми – 10 т.;</w:t>
      </w:r>
      <w:r w:rsidRPr="00813C19">
        <w:rPr>
          <w:color w:val="1D2129"/>
        </w:rPr>
        <w:br/>
        <w:t>- Изграждане на самостоятелни и оригинални тези и тяхното обосноваване – 15 т.;</w:t>
      </w:r>
    </w:p>
    <w:p w:rsidR="00C85142" w:rsidRPr="00813C19" w:rsidRDefault="00C85142" w:rsidP="00C85142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13C19">
        <w:rPr>
          <w:color w:val="1D2129"/>
        </w:rPr>
        <w:t>2. Юридическа техника – общо: 80 т., разпределени, както следва:</w:t>
      </w:r>
      <w:r w:rsidRPr="00813C19">
        <w:rPr>
          <w:color w:val="1D2129"/>
        </w:rPr>
        <w:br/>
        <w:t>а) основни (30 т.):</w:t>
      </w:r>
      <w:r w:rsidRPr="00813C19">
        <w:rPr>
          <w:color w:val="1D2129"/>
        </w:rPr>
        <w:br/>
        <w:t>- Тълкуване на правната уредба и подробен анализ на нейното прилагането – 10 т.;</w:t>
      </w:r>
      <w:r w:rsidRPr="00813C19">
        <w:rPr>
          <w:color w:val="1D2129"/>
        </w:rPr>
        <w:br/>
        <w:t>- Езикова и юридическа култура – 5 т.;</w:t>
      </w:r>
      <w:r w:rsidRPr="00813C19">
        <w:rPr>
          <w:color w:val="1D2129"/>
        </w:rPr>
        <w:br/>
        <w:t>- Практическата приложимост на поставения проблем и представените изводи – 10 т.;</w:t>
      </w:r>
      <w:r w:rsidRPr="00813C19">
        <w:rPr>
          <w:color w:val="1D2129"/>
        </w:rPr>
        <w:br/>
        <w:t>- Достъпност (разбираемост) на изложението – 5 т.;</w:t>
      </w:r>
      <w:r w:rsidRPr="00813C19">
        <w:rPr>
          <w:color w:val="1D2129"/>
        </w:rPr>
        <w:br/>
        <w:t>б) допълнителни (50 т.):</w:t>
      </w:r>
      <w:r w:rsidRPr="00813C19">
        <w:rPr>
          <w:color w:val="1D2129"/>
        </w:rPr>
        <w:br/>
        <w:t>- Цитиране на становища на правната литература и тяхното обсъждане – 10 т.;</w:t>
      </w:r>
      <w:r w:rsidRPr="00813C19">
        <w:rPr>
          <w:color w:val="1D2129"/>
        </w:rPr>
        <w:br/>
        <w:t>- Анализ на съдебна практика и извеждане на аргументите – 10т.;</w:t>
      </w:r>
      <w:r w:rsidRPr="00813C19">
        <w:rPr>
          <w:color w:val="1D2129"/>
        </w:rPr>
        <w:br/>
        <w:t xml:space="preserve">- Предложения </w:t>
      </w:r>
      <w:proofErr w:type="spellStart"/>
      <w:r w:rsidRPr="00813C19">
        <w:rPr>
          <w:color w:val="1D2129"/>
        </w:rPr>
        <w:t>de</w:t>
      </w:r>
      <w:proofErr w:type="spellEnd"/>
      <w:r w:rsidRPr="00813C19">
        <w:rPr>
          <w:color w:val="1D2129"/>
        </w:rPr>
        <w:t xml:space="preserve"> </w:t>
      </w:r>
      <w:proofErr w:type="spellStart"/>
      <w:r w:rsidRPr="00813C19">
        <w:rPr>
          <w:color w:val="1D2129"/>
        </w:rPr>
        <w:t>lege</w:t>
      </w:r>
      <w:proofErr w:type="spellEnd"/>
      <w:r w:rsidRPr="00813C19">
        <w:rPr>
          <w:color w:val="1D2129"/>
        </w:rPr>
        <w:t xml:space="preserve"> </w:t>
      </w:r>
      <w:proofErr w:type="spellStart"/>
      <w:r w:rsidRPr="00813C19">
        <w:rPr>
          <w:color w:val="1D2129"/>
        </w:rPr>
        <w:t>ferenda</w:t>
      </w:r>
      <w:proofErr w:type="spellEnd"/>
      <w:r w:rsidRPr="00813C19">
        <w:rPr>
          <w:color w:val="1D2129"/>
        </w:rPr>
        <w:t xml:space="preserve"> във връзка с обсъдените тези – 5 т.;</w:t>
      </w:r>
      <w:r w:rsidRPr="00813C19">
        <w:rPr>
          <w:color w:val="1D2129"/>
        </w:rPr>
        <w:br/>
        <w:t>- Привеждане на практически примери, които да допълват аргументите на тезата – 15 т.;</w:t>
      </w:r>
      <w:r w:rsidRPr="00813C19">
        <w:rPr>
          <w:color w:val="1D2129"/>
        </w:rPr>
        <w:br/>
        <w:t xml:space="preserve">- </w:t>
      </w:r>
      <w:proofErr w:type="spellStart"/>
      <w:r w:rsidRPr="00813C19">
        <w:rPr>
          <w:color w:val="1D2129"/>
        </w:rPr>
        <w:t>Сравнителноправен</w:t>
      </w:r>
      <w:proofErr w:type="spellEnd"/>
      <w:r w:rsidRPr="00813C19">
        <w:rPr>
          <w:color w:val="1D2129"/>
        </w:rPr>
        <w:t xml:space="preserve"> и/или исторически анализ - 10 т.;</w:t>
      </w:r>
    </w:p>
    <w:p w:rsidR="00C85142" w:rsidRPr="00813C19" w:rsidRDefault="00C85142" w:rsidP="00C85142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13C19">
        <w:rPr>
          <w:color w:val="1D2129"/>
        </w:rPr>
        <w:t>3. Структурни – общо: 20 т., разпределени, както следва:</w:t>
      </w:r>
      <w:r w:rsidRPr="00813C19">
        <w:rPr>
          <w:color w:val="1D2129"/>
        </w:rPr>
        <w:br/>
        <w:t>- Оригинална тема - 5 т.;</w:t>
      </w:r>
      <w:r w:rsidRPr="00813C19">
        <w:rPr>
          <w:color w:val="1D2129"/>
        </w:rPr>
        <w:br/>
        <w:t>- Поставяне на ясни цели на изследването – 5 т.;</w:t>
      </w:r>
      <w:r w:rsidRPr="00813C19">
        <w:rPr>
          <w:color w:val="1D2129"/>
        </w:rPr>
        <w:br/>
        <w:t>- Изграждане на систематическа структура на изложението – 5 т.;</w:t>
      </w:r>
      <w:r w:rsidRPr="00813C19">
        <w:rPr>
          <w:color w:val="1D2129"/>
        </w:rPr>
        <w:br/>
        <w:t>- Ясно структурирано заключение - 5 т.</w:t>
      </w:r>
    </w:p>
    <w:p w:rsidR="00C85142" w:rsidRPr="00813C19" w:rsidRDefault="00C85142" w:rsidP="00C85142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13C19">
        <w:rPr>
          <w:color w:val="1D2129"/>
        </w:rPr>
        <w:t>Максимален брой точки: 160 т.</w:t>
      </w:r>
    </w:p>
    <w:p w:rsidR="00B43D0E" w:rsidRDefault="00B43D0E"/>
    <w:sectPr w:rsidR="00B43D0E" w:rsidSect="00CB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45D"/>
    <w:rsid w:val="000C77AB"/>
    <w:rsid w:val="001D18F3"/>
    <w:rsid w:val="001E1B34"/>
    <w:rsid w:val="002A74F3"/>
    <w:rsid w:val="004156F4"/>
    <w:rsid w:val="004A7EB2"/>
    <w:rsid w:val="00521C09"/>
    <w:rsid w:val="006743CD"/>
    <w:rsid w:val="006B5CDC"/>
    <w:rsid w:val="007F3825"/>
    <w:rsid w:val="00813C19"/>
    <w:rsid w:val="008B0375"/>
    <w:rsid w:val="00984C3E"/>
    <w:rsid w:val="00A6053A"/>
    <w:rsid w:val="00A66CF9"/>
    <w:rsid w:val="00A8045D"/>
    <w:rsid w:val="00AD4499"/>
    <w:rsid w:val="00B0631F"/>
    <w:rsid w:val="00B43D0E"/>
    <w:rsid w:val="00C85142"/>
    <w:rsid w:val="00C95317"/>
    <w:rsid w:val="00CB7609"/>
    <w:rsid w:val="00E25CB4"/>
    <w:rsid w:val="00ED057C"/>
    <w:rsid w:val="00FB75F6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17E9"/>
  <w15:docId w15:val="{8DA044F4-6AB5-413B-AD93-23FE091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DefaultParagraphFont"/>
    <w:rsid w:val="00C85142"/>
  </w:style>
  <w:style w:type="character" w:styleId="Hyperlink">
    <w:name w:val="Hyperlink"/>
    <w:basedOn w:val="DefaultParagraphFont"/>
    <w:uiPriority w:val="99"/>
    <w:unhideWhenUsed/>
    <w:rsid w:val="00C851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llengingthelaw.com/?fbclid=IwAR0hHjNPCK-lDP0SqxippoE3MA49QtsYpVO86TBQPazIZl_PMICgzf561J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sp.bg/competitions/" TargetMode="External"/><Relationship Id="rId5" Type="http://schemas.openxmlformats.org/officeDocument/2006/relationships/hyperlink" Target="mailto:predizvikaipravot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03FF-92FB-4194-90F1-F23D245C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Tsveti</cp:lastModifiedBy>
  <cp:revision>18</cp:revision>
  <dcterms:created xsi:type="dcterms:W3CDTF">2021-07-12T18:19:00Z</dcterms:created>
  <dcterms:modified xsi:type="dcterms:W3CDTF">2021-10-25T06:39:00Z</dcterms:modified>
</cp:coreProperties>
</file>