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6C" w:rsidRPr="00BD1689" w:rsidRDefault="0068586C" w:rsidP="0068586C">
      <w:pPr>
        <w:jc w:val="center"/>
        <w:rPr>
          <w:b/>
        </w:rPr>
      </w:pPr>
      <w:bookmarkStart w:id="0" w:name="_GoBack"/>
      <w:bookmarkEnd w:id="0"/>
      <w:r w:rsidRPr="00BD1689">
        <w:rPr>
          <w:b/>
        </w:rPr>
        <w:t>ПРОБЛЕМИ В МОДУЛ НАТОВАРЕНОСТ В ЕИСС</w:t>
      </w:r>
      <w:r>
        <w:rPr>
          <w:b/>
        </w:rPr>
        <w:t>, констатирани по граждански и търговски дела в тестова среда</w:t>
      </w:r>
    </w:p>
    <w:p w:rsidR="0068586C" w:rsidRDefault="0068586C" w:rsidP="0068586C"/>
    <w:p w:rsidR="0068586C" w:rsidRPr="00373418" w:rsidRDefault="0068586C" w:rsidP="0068586C">
      <w:pPr>
        <w:ind w:firstLine="708"/>
      </w:pPr>
      <w:r w:rsidRPr="00547166">
        <w:t xml:space="preserve">В тестовата среда на ЕИСС има функционалности за натовареността, които не са съобразени с разпоредбите на  чл. 18, ал. 2, 3 и 4 от Правила за оценка на натовареността на съдиите, приети от СК на ВСС (ПОНС), </w:t>
      </w:r>
      <w:r w:rsidR="0014460E" w:rsidRPr="00547166">
        <w:t>които предвиждат</w:t>
      </w:r>
      <w:r w:rsidRPr="00547166">
        <w:t xml:space="preserve"> натовареност за основни и допълнителни дейности </w:t>
      </w:r>
      <w:r w:rsidR="0014460E" w:rsidRPr="00547166">
        <w:t xml:space="preserve">да </w:t>
      </w:r>
      <w:r w:rsidRPr="00547166">
        <w:t xml:space="preserve">се отчита на съдията въз </w:t>
      </w:r>
      <w:r w:rsidRPr="00373418">
        <w:t>основа на конкретно постановен акт/деловодно събитие, регистрирано в деловодния модул на ЕИСС, т.е. автоматично чрез разпознаване н</w:t>
      </w:r>
      <w:r w:rsidR="0018680C" w:rsidRPr="00373418">
        <w:t>а к</w:t>
      </w:r>
      <w:r w:rsidR="005637AA" w:rsidRPr="00373418">
        <w:t>онкретна деловодна активност.</w:t>
      </w:r>
    </w:p>
    <w:p w:rsidR="0068586C" w:rsidRPr="00373418" w:rsidRDefault="0068586C" w:rsidP="002D2E30">
      <w:pPr>
        <w:ind w:firstLine="708"/>
        <w:rPr>
          <w:strike/>
        </w:rPr>
      </w:pPr>
      <w:r w:rsidRPr="00373418">
        <w:t>1. По отношение на основните дейности</w:t>
      </w:r>
      <w:r w:rsidR="0026143A" w:rsidRPr="00373418">
        <w:t xml:space="preserve"> (етапи от делото)</w:t>
      </w:r>
      <w:r w:rsidRPr="00373418">
        <w:t xml:space="preserve"> следва да се</w:t>
      </w:r>
      <w:r w:rsidR="002D2E30" w:rsidRPr="00373418">
        <w:t xml:space="preserve"> има </w:t>
      </w:r>
      <w:r w:rsidR="00547166" w:rsidRPr="00373418">
        <w:t>предвид</w:t>
      </w:r>
      <w:r w:rsidR="002D2E30" w:rsidRPr="00373418">
        <w:t>, че</w:t>
      </w:r>
      <w:r w:rsidRPr="00373418">
        <w:t xml:space="preserve"> Прило</w:t>
      </w:r>
      <w:r w:rsidR="002D2E30" w:rsidRPr="00373418">
        <w:t>жение № 3.4. към ПОНС</w:t>
      </w:r>
      <w:r w:rsidRPr="00373418">
        <w:t xml:space="preserve"> е посочено, че като елемент от общата информация за делото (номер, статистически шифър, страни), трябва да се отбелязва и начинът на разглеждане на делото (в открито или закрито заседание), както и че в ЕИСС следва да има функционалност разграничаваща първо открито съдебно заседание от останалите открити съдебни заседания.</w:t>
      </w:r>
    </w:p>
    <w:p w:rsidR="0068586C" w:rsidRPr="00373418" w:rsidRDefault="0068586C" w:rsidP="0068586C">
      <w:pPr>
        <w:ind w:firstLine="708"/>
      </w:pPr>
      <w:r w:rsidRPr="00373418">
        <w:t xml:space="preserve">В тестовата среда отбелязването на </w:t>
      </w:r>
      <w:r w:rsidR="002D2E30" w:rsidRPr="00373418">
        <w:t>данни, касаещи натовареността</w:t>
      </w:r>
      <w:r w:rsidRPr="00373418">
        <w:t xml:space="preserve"> е усложнено, в отделен екран, и липсва проследимост на начина, по който е начислен коефициентът.</w:t>
      </w:r>
    </w:p>
    <w:p w:rsidR="0068586C" w:rsidRPr="00373418" w:rsidRDefault="0068586C" w:rsidP="0068586C">
      <w:pPr>
        <w:ind w:firstLine="708"/>
        <w:rPr>
          <w:i/>
          <w:u w:val="single"/>
        </w:rPr>
      </w:pPr>
      <w:r w:rsidRPr="00373418">
        <w:rPr>
          <w:i/>
          <w:u w:val="single"/>
        </w:rPr>
        <w:t>Необходимо е:</w:t>
      </w:r>
    </w:p>
    <w:p w:rsidR="002D2E30" w:rsidRPr="00373418" w:rsidRDefault="0068586C" w:rsidP="00BC3573">
      <w:pPr>
        <w:ind w:left="709" w:firstLine="284"/>
      </w:pPr>
      <w:r w:rsidRPr="00373418">
        <w:t xml:space="preserve">1.1. деловодният модул сам да подава данни към модула по натовареност след постановяване на всеки релевантен акт, като се изискват минимален брой действия от съдията. </w:t>
      </w:r>
    </w:p>
    <w:p w:rsidR="00547166" w:rsidRPr="00373418" w:rsidRDefault="0068586C" w:rsidP="00BC3573">
      <w:pPr>
        <w:ind w:left="709" w:firstLine="284"/>
      </w:pPr>
      <w:r w:rsidRPr="00373418">
        <w:t>Отбелязването на</w:t>
      </w:r>
      <w:r w:rsidR="002D2E30" w:rsidRPr="00373418">
        <w:t xml:space="preserve"> </w:t>
      </w:r>
      <w:r w:rsidR="005637AA" w:rsidRPr="00373418">
        <w:t>начина на разглеждане на делото</w:t>
      </w:r>
      <w:r w:rsidR="000278AB" w:rsidRPr="00373418">
        <w:t xml:space="preserve"> като цяло (с</w:t>
      </w:r>
      <w:r w:rsidR="005637AA" w:rsidRPr="00373418">
        <w:t xml:space="preserve"> открито или закрито заседание) и </w:t>
      </w:r>
      <w:r w:rsidR="002D2E30" w:rsidRPr="00373418">
        <w:t>акт/</w:t>
      </w:r>
      <w:r w:rsidR="0026143A" w:rsidRPr="00373418">
        <w:t xml:space="preserve"> </w:t>
      </w:r>
      <w:r w:rsidR="002D2E30" w:rsidRPr="00373418">
        <w:t>резултат/</w:t>
      </w:r>
      <w:r w:rsidR="0026143A" w:rsidRPr="00373418">
        <w:t xml:space="preserve"> </w:t>
      </w:r>
      <w:r w:rsidR="002D2E30" w:rsidRPr="00373418">
        <w:t xml:space="preserve">текст от закона, с който се означава приключването на съответния етап от основните дейности по </w:t>
      </w:r>
      <w:proofErr w:type="spellStart"/>
      <w:r w:rsidR="002D2E30" w:rsidRPr="00373418">
        <w:t>разлеждане</w:t>
      </w:r>
      <w:proofErr w:type="spellEnd"/>
      <w:r w:rsidR="002D2E30" w:rsidRPr="00373418">
        <w:t xml:space="preserve"> на дело,</w:t>
      </w:r>
      <w:r w:rsidR="0026143A" w:rsidRPr="00373418">
        <w:t xml:space="preserve"> посочени в приложения 1.2., </w:t>
      </w:r>
      <w:proofErr w:type="spellStart"/>
      <w:r w:rsidR="0026143A" w:rsidRPr="00373418">
        <w:t>2</w:t>
      </w:r>
      <w:proofErr w:type="spellEnd"/>
      <w:r w:rsidR="0026143A" w:rsidRPr="00373418">
        <w:t xml:space="preserve">.4 и </w:t>
      </w:r>
      <w:r w:rsidR="002D2E30" w:rsidRPr="00373418">
        <w:t>3.4</w:t>
      </w:r>
      <w:r w:rsidR="0026143A" w:rsidRPr="00373418">
        <w:t xml:space="preserve"> от ПОНС</w:t>
      </w:r>
      <w:r w:rsidRPr="00373418">
        <w:t xml:space="preserve"> (напр. </w:t>
      </w:r>
      <w:r w:rsidR="000278AB" w:rsidRPr="00373418">
        <w:t xml:space="preserve">в обща номенклатура като </w:t>
      </w:r>
      <w:r w:rsidRPr="00373418">
        <w:rPr>
          <w:i/>
        </w:rPr>
        <w:t>„проверка за редовност, допустимост… на дело, разглеждано в открито заседание“, „проверка за допустимост на дело, разглеждано в закрито заседание“</w:t>
      </w:r>
      <w:r w:rsidRPr="00373418">
        <w:t xml:space="preserve">) трябва да става </w:t>
      </w:r>
      <w:r w:rsidRPr="00373418">
        <w:rPr>
          <w:b/>
        </w:rPr>
        <w:t>в същия</w:t>
      </w:r>
      <w:r w:rsidRPr="00373418">
        <w:t xml:space="preserve"> екран (</w:t>
      </w:r>
      <w:proofErr w:type="spellStart"/>
      <w:r w:rsidRPr="00373418">
        <w:t>таб</w:t>
      </w:r>
      <w:proofErr w:type="spellEnd"/>
      <w:r w:rsidRPr="00373418">
        <w:t>), в който се въвежда</w:t>
      </w:r>
      <w:r w:rsidR="002D2E30" w:rsidRPr="00373418">
        <w:t>т данните и</w:t>
      </w:r>
      <w:r w:rsidRPr="00373418">
        <w:t xml:space="preserve"> текста на акта и се отразява дали подлежи на обжалване.</w:t>
      </w:r>
      <w:r w:rsidR="0026143A" w:rsidRPr="00373418">
        <w:t xml:space="preserve"> (Забележка: начинът на р</w:t>
      </w:r>
      <w:r w:rsidR="000278AB" w:rsidRPr="00373418">
        <w:t>азглеждане се преценява от конкретния съдия; ако актът е постановен в о.с.з., това може да се съобразява от системата; но всички дела, чийто начин на разглеждане е „открито заседание“ започват със закрито заседание, т.е. от това, че конкретно заседание е закрито, не може да се прави извод за начина на разглеждане на делото.)</w:t>
      </w:r>
    </w:p>
    <w:p w:rsidR="0068586C" w:rsidRPr="00373418" w:rsidRDefault="0068586C" w:rsidP="00BC3573">
      <w:pPr>
        <w:ind w:left="709" w:firstLine="284"/>
      </w:pPr>
      <w:r w:rsidRPr="00373418">
        <w:t xml:space="preserve">Съответната стойност </w:t>
      </w:r>
      <w:r w:rsidR="000278AB" w:rsidRPr="00373418">
        <w:t xml:space="preserve">за етапа </w:t>
      </w:r>
      <w:r w:rsidRPr="00373418">
        <w:t>следва да се начислява</w:t>
      </w:r>
      <w:r w:rsidR="0026143A" w:rsidRPr="00373418">
        <w:t xml:space="preserve"> автоматично с натискането на бутоните за</w:t>
      </w:r>
      <w:r w:rsidRPr="00373418">
        <w:t xml:space="preserve"> записване и подписване на </w:t>
      </w:r>
      <w:r w:rsidR="0026143A" w:rsidRPr="00373418">
        <w:t xml:space="preserve">самия </w:t>
      </w:r>
      <w:r w:rsidRPr="00373418">
        <w:t>акт</w:t>
      </w:r>
      <w:r w:rsidR="00547166" w:rsidRPr="00373418">
        <w:t>.</w:t>
      </w:r>
    </w:p>
    <w:p w:rsidR="0068586C" w:rsidRPr="00373418" w:rsidRDefault="0068586C" w:rsidP="00BC3573">
      <w:pPr>
        <w:ind w:left="709" w:firstLine="284"/>
      </w:pPr>
      <w:r w:rsidRPr="00373418">
        <w:t>1.2. да е възможно на избирането на повече от един етап/ резултат (напр. когато съдът едновременно изпрати иска за отговор и насрочи заседание или когато едновременно провери допустимостта и издаде заповед за изпълнение)</w:t>
      </w:r>
      <w:r w:rsidR="000278AB" w:rsidRPr="00373418">
        <w:t xml:space="preserve"> или отбелязването на по-следващия етап автоматично да води до отчитане и на предишния</w:t>
      </w:r>
      <w:r w:rsidRPr="00373418">
        <w:t>;</w:t>
      </w:r>
    </w:p>
    <w:p w:rsidR="00373418" w:rsidRPr="00373418" w:rsidRDefault="0068586C" w:rsidP="00BC3573">
      <w:pPr>
        <w:ind w:left="709" w:firstLine="284"/>
      </w:pPr>
      <w:r w:rsidRPr="00373418">
        <w:t xml:space="preserve">1.3. </w:t>
      </w:r>
      <w:r w:rsidR="00654713" w:rsidRPr="00373418">
        <w:t>Е</w:t>
      </w:r>
      <w:r w:rsidRPr="00373418">
        <w:t>кранът за натовареност</w:t>
      </w:r>
      <w:r w:rsidR="00654713" w:rsidRPr="00373418">
        <w:t xml:space="preserve"> трябва да е общ (сегашната „натовареност“ - основни етапи и допълнителни дейности, и сегашните „коригиращи коефициенти</w:t>
      </w:r>
      <w:r w:rsidR="00373418" w:rsidRPr="00373418">
        <w:t>“</w:t>
      </w:r>
      <w:r w:rsidR="00654713" w:rsidRPr="00373418">
        <w:t xml:space="preserve"> трябва да се визуализират </w:t>
      </w:r>
      <w:r w:rsidR="00373418" w:rsidRPr="00373418">
        <w:t>на една страница, в</w:t>
      </w:r>
      <w:r w:rsidR="00654713" w:rsidRPr="00373418">
        <w:t xml:space="preserve"> два последователни раздела</w:t>
      </w:r>
      <w:r w:rsidR="00373418" w:rsidRPr="00373418">
        <w:t>)</w:t>
      </w:r>
      <w:r w:rsidR="00654713" w:rsidRPr="00373418">
        <w:t xml:space="preserve">. В този общ екран </w:t>
      </w:r>
      <w:r w:rsidRPr="00373418">
        <w:t xml:space="preserve">трябва ясно и диференцирано да </w:t>
      </w:r>
      <w:r w:rsidR="00654713" w:rsidRPr="00373418">
        <w:t xml:space="preserve">се </w:t>
      </w:r>
      <w:r w:rsidRPr="00373418">
        <w:t xml:space="preserve">посочва как е формиран коефициентът по делото към настоящия момент: да посочва </w:t>
      </w:r>
      <w:r w:rsidRPr="00373418">
        <w:rPr>
          <w:u w:val="single"/>
        </w:rPr>
        <w:t>отделно</w:t>
      </w:r>
      <w:r w:rsidRPr="00373418">
        <w:t xml:space="preserve"> (а) думите „базов </w:t>
      </w:r>
      <w:r w:rsidRPr="00373418">
        <w:lastRenderedPageBreak/>
        <w:t>коефициент“ и неговата стойност за този вид дело поначало; (б) вида/ причината за всеки увеличаващ коефициент, момента на начисляването му и стойността на увеличаващия коефициент; (в) резултата от умножението на базовия и увеличаващия коефициент (чл. 23 ал. 3 ПОНС), т.е. принципният максимум за делото; (г) вида/ наименованието на всеки процесуален етап и акта/ заседанието, в който е бил осъществен, принципният процент за този етап и конкретно начислената абсолютна част от коефицента за тежест за него</w:t>
      </w:r>
      <w:r w:rsidR="000278AB" w:rsidRPr="00373418">
        <w:t>, при съобразяване на активираните към този момент увеличаващи коефициенти (</w:t>
      </w:r>
      <w:proofErr w:type="spellStart"/>
      <w:r w:rsidR="000278AB" w:rsidRPr="00373418">
        <w:t>последващи</w:t>
      </w:r>
      <w:proofErr w:type="spellEnd"/>
      <w:r w:rsidR="000278AB" w:rsidRPr="00373418">
        <w:t xml:space="preserve"> корекции не увеличават частта за етапа с обратна сила)</w:t>
      </w:r>
      <w:r w:rsidRPr="00373418">
        <w:t xml:space="preserve">; (д) наименованието на всяко допълнително действие по номенклатурата, актът, с който то е било извършено, когато е приложимо, и конкретно начислената абсолютна част от коефицента за тежест за него; (е) сборът от частите от коефициенти за изминали етапи и за изпълнените допълнителни дейности. В допълнение към таблицата данните може да се визуализират графично и на </w:t>
      </w:r>
      <w:proofErr w:type="spellStart"/>
      <w:r w:rsidRPr="00373418">
        <w:t>остта</w:t>
      </w:r>
      <w:proofErr w:type="spellEnd"/>
      <w:r w:rsidRPr="00373418">
        <w:t xml:space="preserve"> на времето.</w:t>
      </w:r>
    </w:p>
    <w:p w:rsidR="0068586C" w:rsidRPr="00373418" w:rsidRDefault="00654713" w:rsidP="00BC3573">
      <w:pPr>
        <w:ind w:left="709" w:firstLine="284"/>
      </w:pPr>
      <w:r w:rsidRPr="00373418">
        <w:t>(Вж. пример в края на файла.)</w:t>
      </w:r>
    </w:p>
    <w:p w:rsidR="0068586C" w:rsidRPr="00373418" w:rsidRDefault="0068586C" w:rsidP="0068586C">
      <w:pPr>
        <w:ind w:firstLine="708"/>
      </w:pPr>
    </w:p>
    <w:p w:rsidR="005637AA" w:rsidRPr="00373418" w:rsidRDefault="0068586C" w:rsidP="005637AA">
      <w:pPr>
        <w:ind w:firstLine="708"/>
      </w:pPr>
      <w:r w:rsidRPr="00373418">
        <w:t xml:space="preserve">2.  </w:t>
      </w:r>
      <w:r w:rsidR="005637AA" w:rsidRPr="00373418">
        <w:t xml:space="preserve">По отношение на увеличаващите коефициенти </w:t>
      </w:r>
      <w:r w:rsidR="00345706" w:rsidRPr="00373418">
        <w:t xml:space="preserve"> и допълнителните д</w:t>
      </w:r>
      <w:r w:rsidR="0014460E" w:rsidRPr="00373418">
        <w:t>е</w:t>
      </w:r>
      <w:r w:rsidR="00345706" w:rsidRPr="00373418">
        <w:t xml:space="preserve">йности </w:t>
      </w:r>
      <w:r w:rsidR="005637AA" w:rsidRPr="00373418">
        <w:t>е предвидено ръчно въвеждане, без да е възможно извършване на корекции.</w:t>
      </w:r>
    </w:p>
    <w:p w:rsidR="0068586C" w:rsidRPr="00373418" w:rsidRDefault="005637AA" w:rsidP="005637AA">
      <w:pPr>
        <w:ind w:firstLine="708"/>
      </w:pPr>
      <w:r w:rsidRPr="00373418">
        <w:t xml:space="preserve">2.1 </w:t>
      </w:r>
      <w:r w:rsidR="0068586C" w:rsidRPr="00373418">
        <w:t xml:space="preserve">При въвеждане на увеличаващите коригиращи коефициенти се увеличава базовият коефициент, но  в справката за натовареност, която се генерира за съдия или дело, не се </w:t>
      </w:r>
      <w:r w:rsidRPr="00373418">
        <w:t>визуализира никаква информация за</w:t>
      </w:r>
      <w:r w:rsidR="0068586C" w:rsidRPr="00373418">
        <w:t xml:space="preserve"> направеният избор на вид коефициент (основание за увеличаване). Това може да доведе до грешка, дублиране или объркване, защото част от увеличаващите коефициенти съвпадат по тежест (напр. за граждански първоинстанционни дела коефициентът за увеличение при 3 и повече искове е същият като за повече от 1500 страници).</w:t>
      </w:r>
    </w:p>
    <w:p w:rsidR="0068586C" w:rsidRPr="00373418" w:rsidRDefault="0068586C" w:rsidP="00BC3573">
      <w:pPr>
        <w:ind w:left="709"/>
      </w:pPr>
      <w:r w:rsidRPr="00BC3573">
        <w:rPr>
          <w:u w:val="single"/>
        </w:rPr>
        <w:t>Необходимо е:</w:t>
      </w:r>
      <w:r w:rsidRPr="00373418">
        <w:t xml:space="preserve"> в справката да се изписва </w:t>
      </w:r>
      <w:r w:rsidR="005637AA" w:rsidRPr="00373418">
        <w:t>информация за въвеждането на коригиращ коефициент и неговия вид</w:t>
      </w:r>
      <w:r w:rsidRPr="00373418">
        <w:t>.</w:t>
      </w:r>
    </w:p>
    <w:p w:rsidR="0068586C" w:rsidRPr="00373418" w:rsidRDefault="005637AA" w:rsidP="005637AA">
      <w:pPr>
        <w:ind w:firstLine="720"/>
      </w:pPr>
      <w:r w:rsidRPr="00373418">
        <w:t>2.</w:t>
      </w:r>
      <w:proofErr w:type="spellStart"/>
      <w:r w:rsidRPr="00373418">
        <w:t>2</w:t>
      </w:r>
      <w:proofErr w:type="spellEnd"/>
      <w:r w:rsidR="00BC3573">
        <w:t xml:space="preserve">. </w:t>
      </w:r>
      <w:r w:rsidR="0068586C" w:rsidRPr="00373418">
        <w:t>Въвеждането на увеличаващ коефициент 1,5 води до прибавяне на стойност от 1,5 към базовия коефициент, а не до увеличаването му с 50 %, какъвто е смисълът на правилото.</w:t>
      </w:r>
    </w:p>
    <w:p w:rsidR="0068586C" w:rsidRPr="00BC3573" w:rsidRDefault="0068586C" w:rsidP="00BC3573">
      <w:pPr>
        <w:ind w:left="709"/>
        <w:rPr>
          <w:u w:val="single"/>
        </w:rPr>
      </w:pPr>
      <w:r w:rsidRPr="00BC3573">
        <w:rPr>
          <w:u w:val="single"/>
        </w:rPr>
        <w:t>Необходимо е:</w:t>
      </w:r>
      <w:r w:rsidRPr="00BC3573">
        <w:t xml:space="preserve"> системата да умножава базовия коефициент по допълнителния.</w:t>
      </w:r>
    </w:p>
    <w:p w:rsidR="0068586C" w:rsidRPr="00373418" w:rsidRDefault="005637AA" w:rsidP="005637AA">
      <w:pPr>
        <w:ind w:firstLine="720"/>
      </w:pPr>
      <w:r w:rsidRPr="00373418">
        <w:t>2.3.</w:t>
      </w:r>
      <w:r w:rsidR="0068586C" w:rsidRPr="00373418">
        <w:t>Всички допълнителни дейности по приложение 3.3 са заложени за ръчно въвеждане чрез избор от списък, който</w:t>
      </w:r>
      <w:r w:rsidR="00373418">
        <w:t xml:space="preserve"> първоначално</w:t>
      </w:r>
      <w:r w:rsidR="0068586C" w:rsidRPr="00373418">
        <w:t xml:space="preserve"> дори не се отваря като падащо меню, а изисква </w:t>
      </w:r>
      <w:r w:rsidR="00373418">
        <w:t xml:space="preserve">уцелване от потребителя </w:t>
      </w:r>
      <w:r w:rsidR="0068586C" w:rsidRPr="00373418">
        <w:t>на ключова дума</w:t>
      </w:r>
      <w:r w:rsidR="00373418">
        <w:t>, едва след което се извеждат резултати</w:t>
      </w:r>
      <w:r w:rsidR="0068586C" w:rsidRPr="00373418">
        <w:t>.</w:t>
      </w:r>
      <w:r w:rsidR="00547166" w:rsidRPr="00373418">
        <w:t xml:space="preserve"> Допълнителните дейности не се въвеждат чрез свързване с конкретен акт/резултат от заседание и така се създават предпоставки за невъзможност за контрол и недостоверност на данните.</w:t>
      </w:r>
    </w:p>
    <w:p w:rsidR="00BC3573" w:rsidRPr="00BC3573" w:rsidRDefault="0068586C" w:rsidP="00BC3573">
      <w:pPr>
        <w:ind w:left="709"/>
      </w:pPr>
      <w:r w:rsidRPr="00BC3573">
        <w:rPr>
          <w:u w:val="single"/>
        </w:rPr>
        <w:t>Необходимо е</w:t>
      </w:r>
      <w:r w:rsidRPr="00373418">
        <w:rPr>
          <w:u w:val="single"/>
        </w:rPr>
        <w:t>:</w:t>
      </w:r>
      <w:r w:rsidR="00BC3573" w:rsidRPr="00BC3573">
        <w:t xml:space="preserve"> </w:t>
      </w:r>
      <w:r w:rsidR="00373418" w:rsidRPr="00BC3573">
        <w:t>(а) Коефициентите за допълнителни дейности задължително да се асоциират с определено произнасяне от конкретен съдия.</w:t>
      </w:r>
    </w:p>
    <w:p w:rsidR="00BC3573" w:rsidRPr="00BC3573" w:rsidRDefault="00547166" w:rsidP="00BC3573">
      <w:pPr>
        <w:ind w:left="709"/>
      </w:pPr>
      <w:r w:rsidRPr="00BC3573">
        <w:t>(</w:t>
      </w:r>
      <w:r w:rsidR="00373418" w:rsidRPr="00BC3573">
        <w:t>б</w:t>
      </w:r>
      <w:r w:rsidRPr="00BC3573">
        <w:t xml:space="preserve">) </w:t>
      </w:r>
      <w:r w:rsidR="00BC3573" w:rsidRPr="00BC3573">
        <w:t xml:space="preserve">При постановяване на конкретен акт с предмет посочените в приложение 3.3. деловодни събития системата трябва автоматично да разпознава, че е налице основание за начисляване на коефициент за допълнителна дейност. Ако това не е възможно, трябва още в екрана за постановяване на акта да се визуализира отметка/ падащо меню, че </w:t>
      </w:r>
      <w:r w:rsidR="00BC3573" w:rsidRPr="00BC3573">
        <w:lastRenderedPageBreak/>
        <w:t>актът е основание за начисляване на коефициент за допълнителна дейност. Самото начисляване трябва да става автоматично със запазване и подписване на акта, без да се налага преминаване в допълнителен екран (аналогично на т. 1.</w:t>
      </w:r>
      <w:proofErr w:type="spellStart"/>
      <w:r w:rsidR="00BC3573" w:rsidRPr="00BC3573">
        <w:t>1</w:t>
      </w:r>
      <w:proofErr w:type="spellEnd"/>
      <w:r w:rsidR="00BC3573" w:rsidRPr="00BC3573">
        <w:t>.)</w:t>
      </w:r>
    </w:p>
    <w:p w:rsidR="0068586C" w:rsidRPr="00BC3573" w:rsidRDefault="00547166" w:rsidP="00BC3573">
      <w:pPr>
        <w:ind w:left="709"/>
      </w:pPr>
      <w:r w:rsidRPr="00BC3573">
        <w:t>(в)</w:t>
      </w:r>
      <w:r w:rsidR="0068586C" w:rsidRPr="00BC3573">
        <w:t xml:space="preserve"> Към едно произнасяне трябва да могат да се отбелязват и повече от една допълнителна дейности (напр. отхвърляне на молба за правна помощ и допускане на обезпечение с един и същ съдебен акт</w:t>
      </w:r>
      <w:r w:rsidR="00373418" w:rsidRPr="00BC3573">
        <w:t xml:space="preserve">; </w:t>
      </w:r>
      <w:r w:rsidR="0014460E" w:rsidRPr="00BC3573">
        <w:t>аналогично на т.1.2</w:t>
      </w:r>
      <w:r w:rsidRPr="00BC3573">
        <w:t>.</w:t>
      </w:r>
      <w:r w:rsidR="0014460E" w:rsidRPr="00BC3573">
        <w:t>)</w:t>
      </w:r>
      <w:r w:rsidR="00373418" w:rsidRPr="00BC3573">
        <w:t>.</w:t>
      </w:r>
    </w:p>
    <w:p w:rsidR="0068586C" w:rsidRPr="00373418" w:rsidRDefault="00547166" w:rsidP="00345706">
      <w:pPr>
        <w:ind w:firstLine="720"/>
      </w:pPr>
      <w:r w:rsidRPr="00373418">
        <w:t>2.4</w:t>
      </w:r>
      <w:r w:rsidR="00345706" w:rsidRPr="00373418">
        <w:t>.</w:t>
      </w:r>
      <w:r w:rsidRPr="00373418">
        <w:t xml:space="preserve"> </w:t>
      </w:r>
      <w:r w:rsidR="00345706" w:rsidRPr="00373418">
        <w:t>В съществуващата функционалност за натовареност чрез ръчно въвеждане на допълнителни дйности м</w:t>
      </w:r>
      <w:r w:rsidR="0068586C" w:rsidRPr="00373418">
        <w:t>одулът не позволява въвеждането на повече от една допълнителна дейност от един и същи вид, което е неадекватно на реалността (например възможно е разглеждане на повече от едно искане за допускане на обезпечение, за правна помощ на една или повече страни и т.н. по едно и също дело).</w:t>
      </w:r>
    </w:p>
    <w:p w:rsidR="0068586C" w:rsidRPr="00BC3573" w:rsidRDefault="0068586C" w:rsidP="00BC3573">
      <w:pPr>
        <w:ind w:left="709"/>
      </w:pPr>
      <w:r w:rsidRPr="00BC3573">
        <w:rPr>
          <w:u w:val="single"/>
        </w:rPr>
        <w:t>Необходимо е:</w:t>
      </w:r>
      <w:r w:rsidRPr="00BC3573">
        <w:t xml:space="preserve"> да отпадне ограничението и системата да присвоява допълнителна тежест всеки път, когато е постановен акт по приложението</w:t>
      </w:r>
      <w:r w:rsidR="00345706" w:rsidRPr="00BC3573">
        <w:t xml:space="preserve"> и то автоматично</w:t>
      </w:r>
      <w:r w:rsidR="00270DA0" w:rsidRPr="00BC3573">
        <w:t xml:space="preserve"> и с повече от един резултат като допълнителна дейност</w:t>
      </w:r>
      <w:r w:rsidR="00345706" w:rsidRPr="00BC3573">
        <w:t xml:space="preserve"> (т.</w:t>
      </w:r>
      <w:r w:rsidR="00547166" w:rsidRPr="00BC3573">
        <w:t xml:space="preserve"> </w:t>
      </w:r>
      <w:r w:rsidR="00345706" w:rsidRPr="00BC3573">
        <w:t>2.3)</w:t>
      </w:r>
    </w:p>
    <w:p w:rsidR="0068586C" w:rsidRPr="00373418" w:rsidRDefault="00547166" w:rsidP="00345706">
      <w:pPr>
        <w:ind w:firstLine="720"/>
      </w:pPr>
      <w:r w:rsidRPr="00373418">
        <w:t>2.5</w:t>
      </w:r>
      <w:r w:rsidR="00345706" w:rsidRPr="00373418">
        <w:t>.</w:t>
      </w:r>
      <w:r w:rsidRPr="00373418">
        <w:t xml:space="preserve"> </w:t>
      </w:r>
      <w:r w:rsidR="0068586C" w:rsidRPr="00373418">
        <w:t>Не е възможно извършването на корекции по отношение на ръчно въведени данни, което е абсолютно неоправдано с разумна причина.</w:t>
      </w:r>
    </w:p>
    <w:p w:rsidR="0068586C" w:rsidRPr="00BC3573" w:rsidRDefault="0068586C" w:rsidP="00BC3573">
      <w:pPr>
        <w:ind w:left="709"/>
      </w:pPr>
      <w:r w:rsidRPr="00373418">
        <w:rPr>
          <w:u w:val="single"/>
        </w:rPr>
        <w:t>Необходимо е:</w:t>
      </w:r>
      <w:r w:rsidRPr="00BC3573">
        <w:t xml:space="preserve"> </w:t>
      </w:r>
      <w:r w:rsidR="00547166" w:rsidRPr="00BC3573">
        <w:t>П</w:t>
      </w:r>
      <w:r w:rsidR="00345706" w:rsidRPr="00BC3573">
        <w:t>ри всички случаи на ръчно въвеждане на данни за натовареност и при всички случаи, в които деловодният модул допуска редакция на резултат</w:t>
      </w:r>
      <w:r w:rsidR="0014460E" w:rsidRPr="00BC3573">
        <w:t>,</w:t>
      </w:r>
      <w:r w:rsidR="00270DA0" w:rsidRPr="00BC3573">
        <w:t xml:space="preserve"> относим към натовареността, да могат да се редактират и </w:t>
      </w:r>
      <w:r w:rsidR="0014460E" w:rsidRPr="00BC3573">
        <w:t>д</w:t>
      </w:r>
      <w:r w:rsidR="00270DA0" w:rsidRPr="00BC3573">
        <w:t>анните за нея</w:t>
      </w:r>
    </w:p>
    <w:p w:rsidR="00547166" w:rsidRPr="00373418" w:rsidRDefault="00547166" w:rsidP="0068586C">
      <w:pPr>
        <w:ind w:firstLine="720"/>
      </w:pPr>
    </w:p>
    <w:p w:rsidR="0068586C" w:rsidRPr="00373418" w:rsidRDefault="0068586C" w:rsidP="0068586C">
      <w:pPr>
        <w:ind w:firstLine="720"/>
      </w:pPr>
      <w:r w:rsidRPr="00373418">
        <w:t>В този вид модулът за натовареност не само не отговаря на Правилата, но би създал сериозни трудности по фактическото отразяване на данните, контрола върху тази дейност и обективността и достоверността на данните.</w:t>
      </w:r>
    </w:p>
    <w:p w:rsidR="0068586C" w:rsidRPr="00373418" w:rsidRDefault="0068586C"/>
    <w:p w:rsidR="005C6988" w:rsidRPr="00373418" w:rsidRDefault="005C6988" w:rsidP="00547166">
      <w:pPr>
        <w:ind w:firstLine="708"/>
        <w:jc w:val="center"/>
        <w:rPr>
          <w:u w:val="single"/>
        </w:rPr>
      </w:pPr>
      <w:r w:rsidRPr="00373418">
        <w:rPr>
          <w:u w:val="single"/>
        </w:rPr>
        <w:t>Примерен изглед на</w:t>
      </w:r>
      <w:r w:rsidR="00547166" w:rsidRPr="00373418">
        <w:rPr>
          <w:u w:val="single"/>
        </w:rPr>
        <w:t xml:space="preserve"> модула/ екрана за натовареност</w:t>
      </w:r>
      <w:r w:rsidRPr="00373418">
        <w:rPr>
          <w:u w:val="single"/>
        </w:rPr>
        <w:t>:</w:t>
      </w:r>
    </w:p>
    <w:p w:rsidR="00547166" w:rsidRPr="00373418" w:rsidRDefault="00547166" w:rsidP="005C6988">
      <w:pPr>
        <w:ind w:firstLine="708"/>
        <w:rPr>
          <w:u w:val="single"/>
        </w:rPr>
      </w:pPr>
    </w:p>
    <w:p w:rsidR="00654713" w:rsidRPr="00803678" w:rsidRDefault="00803678" w:rsidP="005C6988">
      <w:pPr>
        <w:ind w:firstLine="708"/>
        <w:rPr>
          <w:i/>
          <w:sz w:val="20"/>
          <w:szCs w:val="20"/>
        </w:rPr>
      </w:pPr>
      <w:r w:rsidRPr="00803678">
        <w:rPr>
          <w:i/>
          <w:sz w:val="20"/>
          <w:szCs w:val="20"/>
        </w:rPr>
        <w:t xml:space="preserve">* </w:t>
      </w:r>
      <w:r w:rsidR="00654713" w:rsidRPr="00803678">
        <w:rPr>
          <w:i/>
          <w:sz w:val="20"/>
          <w:szCs w:val="20"/>
        </w:rPr>
        <w:t>Общ екран с 2 поставени един под друг раздела:</w:t>
      </w:r>
    </w:p>
    <w:p w:rsidR="00654713" w:rsidRPr="00373418" w:rsidRDefault="00654713" w:rsidP="005C6988">
      <w:pPr>
        <w:ind w:firstLine="708"/>
        <w:rPr>
          <w:u w:val="single"/>
        </w:rPr>
      </w:pPr>
    </w:p>
    <w:p w:rsidR="005C6988" w:rsidRPr="00373418" w:rsidRDefault="005C6988" w:rsidP="005C6988">
      <w:pPr>
        <w:ind w:firstLine="708"/>
        <w:rPr>
          <w:u w:val="single"/>
        </w:rPr>
      </w:pPr>
      <w:r w:rsidRPr="00373418">
        <w:rPr>
          <w:u w:val="single"/>
        </w:rPr>
        <w:t>Обща информация</w:t>
      </w:r>
      <w:r w:rsidR="00547166" w:rsidRPr="00373418">
        <w:rPr>
          <w:u w:val="single"/>
        </w:rPr>
        <w:t>:</w:t>
      </w:r>
    </w:p>
    <w:p w:rsidR="003421A6" w:rsidRPr="00373418" w:rsidRDefault="003421A6" w:rsidP="005C6988">
      <w:pPr>
        <w:ind w:firstLine="708"/>
        <w:rPr>
          <w:u w:val="single"/>
        </w:rPr>
      </w:pPr>
    </w:p>
    <w:tbl>
      <w:tblPr>
        <w:tblStyle w:val="a4"/>
        <w:tblW w:w="0" w:type="auto"/>
        <w:tblLook w:val="04A0" w:firstRow="1" w:lastRow="0" w:firstColumn="1" w:lastColumn="0" w:noHBand="0" w:noVBand="1"/>
      </w:tblPr>
      <w:tblGrid>
        <w:gridCol w:w="3070"/>
        <w:gridCol w:w="3071"/>
        <w:gridCol w:w="3071"/>
      </w:tblGrid>
      <w:tr w:rsidR="00373418" w:rsidRPr="00373418" w:rsidTr="00654713">
        <w:tc>
          <w:tcPr>
            <w:tcW w:w="3070" w:type="dxa"/>
          </w:tcPr>
          <w:p w:rsidR="00654713" w:rsidRPr="00373418" w:rsidRDefault="00654713" w:rsidP="005C6988">
            <w:pPr>
              <w:rPr>
                <w:u w:val="single"/>
              </w:rPr>
            </w:pPr>
            <w:r w:rsidRPr="00373418">
              <w:t>Базов коефициент за тежест за дело</w:t>
            </w:r>
          </w:p>
        </w:tc>
        <w:tc>
          <w:tcPr>
            <w:tcW w:w="3071" w:type="dxa"/>
          </w:tcPr>
          <w:p w:rsidR="00654713" w:rsidRPr="00373418" w:rsidRDefault="00654713" w:rsidP="00654713">
            <w:pPr>
              <w:rPr>
                <w:u w:val="single"/>
              </w:rPr>
            </w:pPr>
            <w:r w:rsidRPr="00373418">
              <w:t>по шифър ХХХ</w:t>
            </w:r>
          </w:p>
        </w:tc>
        <w:tc>
          <w:tcPr>
            <w:tcW w:w="3071" w:type="dxa"/>
          </w:tcPr>
          <w:p w:rsidR="00654713" w:rsidRPr="00373418" w:rsidRDefault="00654713" w:rsidP="005C6988">
            <w:pPr>
              <w:rPr>
                <w:u w:val="single"/>
              </w:rPr>
            </w:pPr>
            <w:r w:rsidRPr="00373418">
              <w:t>1</w:t>
            </w:r>
          </w:p>
        </w:tc>
      </w:tr>
      <w:tr w:rsidR="00373418" w:rsidRPr="00373418" w:rsidTr="00654713">
        <w:tc>
          <w:tcPr>
            <w:tcW w:w="3070" w:type="dxa"/>
          </w:tcPr>
          <w:p w:rsidR="00654713" w:rsidRPr="00373418" w:rsidRDefault="00654713" w:rsidP="005C6988">
            <w:pPr>
              <w:rPr>
                <w:u w:val="single"/>
              </w:rPr>
            </w:pPr>
            <w:r w:rsidRPr="00373418">
              <w:t>Увеличаващ коефициент за повече томове</w:t>
            </w:r>
          </w:p>
        </w:tc>
        <w:tc>
          <w:tcPr>
            <w:tcW w:w="3071" w:type="dxa"/>
          </w:tcPr>
          <w:p w:rsidR="00654713" w:rsidRPr="00373418" w:rsidRDefault="00654713" w:rsidP="005C6988">
            <w:pPr>
              <w:rPr>
                <w:u w:val="single"/>
              </w:rPr>
            </w:pPr>
            <w:r w:rsidRPr="00373418">
              <w:t>дата ДДММГГ</w:t>
            </w:r>
          </w:p>
        </w:tc>
        <w:tc>
          <w:tcPr>
            <w:tcW w:w="3071" w:type="dxa"/>
          </w:tcPr>
          <w:p w:rsidR="00654713" w:rsidRPr="00373418" w:rsidRDefault="00654713" w:rsidP="005C6988">
            <w:pPr>
              <w:rPr>
                <w:u w:val="single"/>
              </w:rPr>
            </w:pPr>
            <w:r w:rsidRPr="00373418">
              <w:t>1,5;</w:t>
            </w:r>
          </w:p>
        </w:tc>
      </w:tr>
      <w:tr w:rsidR="00373418" w:rsidRPr="00373418" w:rsidTr="00654713">
        <w:tc>
          <w:tcPr>
            <w:tcW w:w="3070" w:type="dxa"/>
          </w:tcPr>
          <w:p w:rsidR="00654713" w:rsidRPr="00373418" w:rsidRDefault="00654713" w:rsidP="005C6988">
            <w:pPr>
              <w:rPr>
                <w:u w:val="single"/>
              </w:rPr>
            </w:pPr>
            <w:r w:rsidRPr="00373418">
              <w:t>Увеличаващ коефициент за повече искове</w:t>
            </w:r>
          </w:p>
        </w:tc>
        <w:tc>
          <w:tcPr>
            <w:tcW w:w="3071" w:type="dxa"/>
          </w:tcPr>
          <w:p w:rsidR="00654713" w:rsidRPr="00373418" w:rsidRDefault="00654713" w:rsidP="005C6988">
            <w:pPr>
              <w:rPr>
                <w:u w:val="single"/>
              </w:rPr>
            </w:pPr>
            <w:r w:rsidRPr="00373418">
              <w:t>дата ДДММГГ</w:t>
            </w:r>
          </w:p>
        </w:tc>
        <w:tc>
          <w:tcPr>
            <w:tcW w:w="3071" w:type="dxa"/>
          </w:tcPr>
          <w:p w:rsidR="00654713" w:rsidRPr="00373418" w:rsidRDefault="00654713" w:rsidP="005C6988">
            <w:pPr>
              <w:rPr>
                <w:u w:val="single"/>
              </w:rPr>
            </w:pPr>
            <w:r w:rsidRPr="00373418">
              <w:t>1,5</w:t>
            </w:r>
          </w:p>
        </w:tc>
      </w:tr>
      <w:tr w:rsidR="00373418" w:rsidRPr="00373418" w:rsidTr="00BC3573">
        <w:tc>
          <w:tcPr>
            <w:tcW w:w="3070" w:type="dxa"/>
            <w:shd w:val="clear" w:color="auto" w:fill="A6A6A6" w:themeFill="background1" w:themeFillShade="A6"/>
          </w:tcPr>
          <w:p w:rsidR="00654713" w:rsidRPr="00373418" w:rsidRDefault="00654713" w:rsidP="005C6988">
            <w:pPr>
              <w:rPr>
                <w:u w:val="single"/>
              </w:rPr>
            </w:pPr>
            <w:r w:rsidRPr="00373418">
              <w:t>Текущ максимален коефициент по делото (без допълненията)</w:t>
            </w:r>
          </w:p>
        </w:tc>
        <w:tc>
          <w:tcPr>
            <w:tcW w:w="3071" w:type="dxa"/>
          </w:tcPr>
          <w:p w:rsidR="00654713" w:rsidRPr="00373418" w:rsidRDefault="00654713" w:rsidP="005C6988">
            <w:pPr>
              <w:rPr>
                <w:u w:val="single"/>
              </w:rPr>
            </w:pPr>
            <w:r w:rsidRPr="00373418">
              <w:rPr>
                <w:lang w:val="en-US"/>
              </w:rPr>
              <w:t>[</w:t>
            </w:r>
            <w:r w:rsidRPr="00373418">
              <w:t>(1,5 + 1,5) – (2 – 1)</w:t>
            </w:r>
            <w:r w:rsidRPr="00373418">
              <w:rPr>
                <w:lang w:val="en-US"/>
              </w:rPr>
              <w:t>]</w:t>
            </w:r>
            <w:r w:rsidRPr="00373418">
              <w:t>*1</w:t>
            </w:r>
          </w:p>
        </w:tc>
        <w:tc>
          <w:tcPr>
            <w:tcW w:w="3071" w:type="dxa"/>
            <w:shd w:val="clear" w:color="auto" w:fill="A6A6A6" w:themeFill="background1" w:themeFillShade="A6"/>
          </w:tcPr>
          <w:p w:rsidR="00654713" w:rsidRPr="00373418" w:rsidRDefault="00654713" w:rsidP="005C6988">
            <w:pPr>
              <w:rPr>
                <w:b/>
                <w:u w:val="single"/>
              </w:rPr>
            </w:pPr>
            <w:r w:rsidRPr="00373418">
              <w:rPr>
                <w:b/>
              </w:rPr>
              <w:t>2</w:t>
            </w:r>
          </w:p>
        </w:tc>
      </w:tr>
      <w:tr w:rsidR="00654713" w:rsidRPr="00373418" w:rsidTr="00654713">
        <w:tc>
          <w:tcPr>
            <w:tcW w:w="3070" w:type="dxa"/>
          </w:tcPr>
          <w:p w:rsidR="00654713" w:rsidRPr="00373418" w:rsidRDefault="00654713" w:rsidP="005C6988">
            <w:pPr>
              <w:rPr>
                <w:u w:val="single"/>
              </w:rPr>
            </w:pPr>
          </w:p>
        </w:tc>
        <w:tc>
          <w:tcPr>
            <w:tcW w:w="3071" w:type="dxa"/>
          </w:tcPr>
          <w:p w:rsidR="00654713" w:rsidRPr="00373418" w:rsidRDefault="00654713" w:rsidP="005C6988">
            <w:pPr>
              <w:rPr>
                <w:u w:val="single"/>
              </w:rPr>
            </w:pPr>
          </w:p>
        </w:tc>
        <w:tc>
          <w:tcPr>
            <w:tcW w:w="3071" w:type="dxa"/>
          </w:tcPr>
          <w:p w:rsidR="00654713" w:rsidRPr="00373418" w:rsidRDefault="00654713" w:rsidP="005C6988">
            <w:pPr>
              <w:rPr>
                <w:u w:val="single"/>
              </w:rPr>
            </w:pPr>
          </w:p>
        </w:tc>
      </w:tr>
    </w:tbl>
    <w:p w:rsidR="00654713" w:rsidRPr="00373418" w:rsidRDefault="00654713" w:rsidP="005C6988">
      <w:pPr>
        <w:ind w:firstLine="708"/>
        <w:rPr>
          <w:u w:val="single"/>
        </w:rPr>
      </w:pPr>
    </w:p>
    <w:p w:rsidR="005C6988" w:rsidRPr="00373418" w:rsidRDefault="005C6988" w:rsidP="005C6988">
      <w:pPr>
        <w:ind w:firstLine="708"/>
        <w:rPr>
          <w:u w:val="single"/>
        </w:rPr>
      </w:pPr>
      <w:r w:rsidRPr="00373418">
        <w:rPr>
          <w:u w:val="single"/>
        </w:rPr>
        <w:t>Разпределение по етапи</w:t>
      </w:r>
      <w:r w:rsidR="00373418" w:rsidRPr="00373418">
        <w:rPr>
          <w:u w:val="single"/>
        </w:rPr>
        <w:t xml:space="preserve"> и допълнителни дейности</w:t>
      </w:r>
      <w:r w:rsidRPr="00373418">
        <w:rPr>
          <w:u w:val="single"/>
        </w:rPr>
        <w:t>:</w:t>
      </w:r>
    </w:p>
    <w:tbl>
      <w:tblPr>
        <w:tblStyle w:val="a4"/>
        <w:tblW w:w="0" w:type="auto"/>
        <w:tblLook w:val="04A0" w:firstRow="1" w:lastRow="0" w:firstColumn="1" w:lastColumn="0" w:noHBand="0" w:noVBand="1"/>
      </w:tblPr>
      <w:tblGrid>
        <w:gridCol w:w="1842"/>
        <w:gridCol w:w="1851"/>
        <w:gridCol w:w="1842"/>
        <w:gridCol w:w="1843"/>
        <w:gridCol w:w="1843"/>
      </w:tblGrid>
      <w:tr w:rsidR="00373418" w:rsidRPr="00373418" w:rsidTr="00373418">
        <w:tc>
          <w:tcPr>
            <w:tcW w:w="1842" w:type="dxa"/>
          </w:tcPr>
          <w:p w:rsidR="005C6988" w:rsidRPr="00373418" w:rsidRDefault="005C6988" w:rsidP="002A1F34">
            <w:pPr>
              <w:rPr>
                <w:b/>
              </w:rPr>
            </w:pPr>
            <w:r w:rsidRPr="00373418">
              <w:rPr>
                <w:b/>
              </w:rPr>
              <w:t>Етап/ действие</w:t>
            </w:r>
          </w:p>
        </w:tc>
        <w:tc>
          <w:tcPr>
            <w:tcW w:w="1851" w:type="dxa"/>
          </w:tcPr>
          <w:p w:rsidR="005C6988" w:rsidRPr="00373418" w:rsidRDefault="005C6988" w:rsidP="002A1F34">
            <w:pPr>
              <w:rPr>
                <w:b/>
              </w:rPr>
            </w:pPr>
            <w:r w:rsidRPr="00373418">
              <w:rPr>
                <w:b/>
              </w:rPr>
              <w:t>Асоцииран акт и дата</w:t>
            </w:r>
          </w:p>
        </w:tc>
        <w:tc>
          <w:tcPr>
            <w:tcW w:w="1842" w:type="dxa"/>
          </w:tcPr>
          <w:p w:rsidR="005C6988" w:rsidRPr="00373418" w:rsidRDefault="005C6988" w:rsidP="002A1F34">
            <w:pPr>
              <w:rPr>
                <w:b/>
                <w:color w:val="808080" w:themeColor="background1" w:themeShade="80"/>
              </w:rPr>
            </w:pPr>
            <w:r w:rsidRPr="00373418">
              <w:rPr>
                <w:b/>
                <w:color w:val="808080" w:themeColor="background1" w:themeShade="80"/>
              </w:rPr>
              <w:t>Макс. Коефициент към тази дата</w:t>
            </w:r>
          </w:p>
        </w:tc>
        <w:tc>
          <w:tcPr>
            <w:tcW w:w="1843" w:type="dxa"/>
          </w:tcPr>
          <w:p w:rsidR="005C6988" w:rsidRPr="00373418" w:rsidRDefault="005C6988" w:rsidP="002A1F34">
            <w:pPr>
              <w:rPr>
                <w:b/>
                <w:color w:val="808080" w:themeColor="background1" w:themeShade="80"/>
              </w:rPr>
            </w:pPr>
            <w:r w:rsidRPr="00373418">
              <w:rPr>
                <w:b/>
                <w:color w:val="808080" w:themeColor="background1" w:themeShade="80"/>
              </w:rPr>
              <w:t>Процент за етапа</w:t>
            </w:r>
          </w:p>
        </w:tc>
        <w:tc>
          <w:tcPr>
            <w:tcW w:w="1843" w:type="dxa"/>
            <w:shd w:val="clear" w:color="auto" w:fill="FFFFFF" w:themeFill="background1"/>
          </w:tcPr>
          <w:p w:rsidR="005C6988" w:rsidRPr="00373418" w:rsidRDefault="005C6988" w:rsidP="002A1F34">
            <w:pPr>
              <w:rPr>
                <w:b/>
              </w:rPr>
            </w:pPr>
            <w:r w:rsidRPr="00373418">
              <w:rPr>
                <w:b/>
              </w:rPr>
              <w:t>Абсолютна част от коефициента за тежест</w:t>
            </w:r>
          </w:p>
        </w:tc>
      </w:tr>
      <w:tr w:rsidR="00373418" w:rsidRPr="00373418" w:rsidTr="00373418">
        <w:tc>
          <w:tcPr>
            <w:tcW w:w="1842" w:type="dxa"/>
          </w:tcPr>
          <w:p w:rsidR="005C6988" w:rsidRPr="00373418" w:rsidRDefault="005C6988" w:rsidP="002A1F34"/>
        </w:tc>
        <w:tc>
          <w:tcPr>
            <w:tcW w:w="1851" w:type="dxa"/>
          </w:tcPr>
          <w:p w:rsidR="005C6988" w:rsidRPr="00373418" w:rsidRDefault="005C6988" w:rsidP="002A1F34"/>
        </w:tc>
        <w:tc>
          <w:tcPr>
            <w:tcW w:w="1842" w:type="dxa"/>
          </w:tcPr>
          <w:p w:rsidR="005C6988" w:rsidRPr="00373418" w:rsidRDefault="005C6988" w:rsidP="002A1F34">
            <w:pPr>
              <w:rPr>
                <w:color w:val="808080" w:themeColor="background1" w:themeShade="80"/>
              </w:rPr>
            </w:pPr>
          </w:p>
        </w:tc>
        <w:tc>
          <w:tcPr>
            <w:tcW w:w="1843" w:type="dxa"/>
          </w:tcPr>
          <w:p w:rsidR="005C6988" w:rsidRPr="00373418" w:rsidRDefault="005C6988" w:rsidP="002A1F34">
            <w:pPr>
              <w:rPr>
                <w:color w:val="808080" w:themeColor="background1" w:themeShade="80"/>
              </w:rPr>
            </w:pPr>
          </w:p>
        </w:tc>
        <w:tc>
          <w:tcPr>
            <w:tcW w:w="1843" w:type="dxa"/>
            <w:shd w:val="clear" w:color="auto" w:fill="FFFFFF" w:themeFill="background1"/>
          </w:tcPr>
          <w:p w:rsidR="005C6988" w:rsidRPr="00373418" w:rsidRDefault="005C6988" w:rsidP="002A1F34">
            <w:pPr>
              <w:rPr>
                <w:b/>
              </w:rPr>
            </w:pPr>
          </w:p>
        </w:tc>
      </w:tr>
      <w:tr w:rsidR="00373418" w:rsidRPr="00373418" w:rsidTr="00373418">
        <w:tc>
          <w:tcPr>
            <w:tcW w:w="1842" w:type="dxa"/>
          </w:tcPr>
          <w:p w:rsidR="005C6988" w:rsidRPr="00373418" w:rsidRDefault="005C6988" w:rsidP="002A1F34">
            <w:r w:rsidRPr="00373418">
              <w:t>Проверка за допустимост на дело, разглеждано в открито заседание</w:t>
            </w:r>
          </w:p>
        </w:tc>
        <w:tc>
          <w:tcPr>
            <w:tcW w:w="1851" w:type="dxa"/>
          </w:tcPr>
          <w:p w:rsidR="005C6988" w:rsidRPr="00373418" w:rsidRDefault="005C6988" w:rsidP="002A1F34">
            <w:r w:rsidRPr="00373418">
              <w:t>Разпореждане от 1.</w:t>
            </w:r>
            <w:proofErr w:type="spellStart"/>
            <w:r w:rsidRPr="00373418">
              <w:t>1</w:t>
            </w:r>
            <w:proofErr w:type="spellEnd"/>
            <w:r w:rsidRPr="00373418">
              <w:t>.20</w:t>
            </w:r>
          </w:p>
        </w:tc>
        <w:tc>
          <w:tcPr>
            <w:tcW w:w="1842" w:type="dxa"/>
          </w:tcPr>
          <w:p w:rsidR="005C6988" w:rsidRPr="00373418" w:rsidRDefault="005C6988" w:rsidP="002A1F34">
            <w:pPr>
              <w:rPr>
                <w:color w:val="808080" w:themeColor="background1" w:themeShade="80"/>
              </w:rPr>
            </w:pPr>
            <w:r w:rsidRPr="00373418">
              <w:rPr>
                <w:color w:val="808080" w:themeColor="background1" w:themeShade="80"/>
              </w:rPr>
              <w:t>1</w:t>
            </w:r>
          </w:p>
        </w:tc>
        <w:tc>
          <w:tcPr>
            <w:tcW w:w="1843" w:type="dxa"/>
          </w:tcPr>
          <w:p w:rsidR="005C6988" w:rsidRPr="00373418" w:rsidRDefault="005C6988" w:rsidP="002A1F34">
            <w:pPr>
              <w:rPr>
                <w:color w:val="808080" w:themeColor="background1" w:themeShade="80"/>
              </w:rPr>
            </w:pPr>
            <w:r w:rsidRPr="00373418">
              <w:rPr>
                <w:color w:val="808080" w:themeColor="background1" w:themeShade="80"/>
              </w:rPr>
              <w:t>15 %</w:t>
            </w:r>
          </w:p>
        </w:tc>
        <w:tc>
          <w:tcPr>
            <w:tcW w:w="1843" w:type="dxa"/>
            <w:shd w:val="clear" w:color="auto" w:fill="FFFFFF" w:themeFill="background1"/>
          </w:tcPr>
          <w:p w:rsidR="005C6988" w:rsidRPr="00373418" w:rsidRDefault="005C6988" w:rsidP="002A1F34">
            <w:pPr>
              <w:rPr>
                <w:b/>
              </w:rPr>
            </w:pPr>
            <w:r w:rsidRPr="00373418">
              <w:rPr>
                <w:b/>
              </w:rPr>
              <w:t>0,15</w:t>
            </w:r>
          </w:p>
        </w:tc>
      </w:tr>
      <w:tr w:rsidR="00373418" w:rsidRPr="00373418" w:rsidTr="00373418">
        <w:tc>
          <w:tcPr>
            <w:tcW w:w="1842" w:type="dxa"/>
          </w:tcPr>
          <w:p w:rsidR="005C6988" w:rsidRPr="00373418" w:rsidRDefault="005C6988" w:rsidP="002A1F34">
            <w:r w:rsidRPr="00373418">
              <w:t>Молба за обезпечение</w:t>
            </w:r>
          </w:p>
        </w:tc>
        <w:tc>
          <w:tcPr>
            <w:tcW w:w="1851" w:type="dxa"/>
          </w:tcPr>
          <w:p w:rsidR="005C6988" w:rsidRPr="00373418" w:rsidRDefault="005C6988" w:rsidP="002A1F34">
            <w:r w:rsidRPr="00373418">
              <w:t>Определение от 1.5.20 г.</w:t>
            </w:r>
          </w:p>
        </w:tc>
        <w:tc>
          <w:tcPr>
            <w:tcW w:w="1842" w:type="dxa"/>
          </w:tcPr>
          <w:p w:rsidR="005C6988" w:rsidRPr="00373418" w:rsidRDefault="005C6988" w:rsidP="002A1F34">
            <w:pPr>
              <w:rPr>
                <w:color w:val="808080" w:themeColor="background1" w:themeShade="80"/>
              </w:rPr>
            </w:pPr>
            <w:r w:rsidRPr="00373418">
              <w:rPr>
                <w:color w:val="808080" w:themeColor="background1" w:themeShade="80"/>
              </w:rPr>
              <w:t>(</w:t>
            </w:r>
            <w:proofErr w:type="spellStart"/>
            <w:r w:rsidRPr="00373418">
              <w:rPr>
                <w:color w:val="808080" w:themeColor="background1" w:themeShade="80"/>
              </w:rPr>
              <w:t>неотносимо</w:t>
            </w:r>
            <w:proofErr w:type="spellEnd"/>
            <w:r w:rsidRPr="00373418">
              <w:rPr>
                <w:color w:val="808080" w:themeColor="background1" w:themeShade="80"/>
              </w:rPr>
              <w:t>)</w:t>
            </w:r>
          </w:p>
        </w:tc>
        <w:tc>
          <w:tcPr>
            <w:tcW w:w="1843" w:type="dxa"/>
          </w:tcPr>
          <w:p w:rsidR="005C6988" w:rsidRPr="00373418" w:rsidRDefault="005C6988" w:rsidP="002A1F34">
            <w:pPr>
              <w:rPr>
                <w:color w:val="808080" w:themeColor="background1" w:themeShade="80"/>
              </w:rPr>
            </w:pPr>
            <w:r w:rsidRPr="00373418">
              <w:rPr>
                <w:color w:val="808080" w:themeColor="background1" w:themeShade="80"/>
              </w:rPr>
              <w:t>(</w:t>
            </w:r>
            <w:proofErr w:type="spellStart"/>
            <w:r w:rsidRPr="00373418">
              <w:rPr>
                <w:color w:val="808080" w:themeColor="background1" w:themeShade="80"/>
              </w:rPr>
              <w:t>неотносимо</w:t>
            </w:r>
            <w:proofErr w:type="spellEnd"/>
            <w:r w:rsidRPr="00373418">
              <w:rPr>
                <w:color w:val="808080" w:themeColor="background1" w:themeShade="80"/>
              </w:rPr>
              <w:t>)</w:t>
            </w:r>
          </w:p>
        </w:tc>
        <w:tc>
          <w:tcPr>
            <w:tcW w:w="1843" w:type="dxa"/>
            <w:shd w:val="clear" w:color="auto" w:fill="FFFFFF" w:themeFill="background1"/>
          </w:tcPr>
          <w:p w:rsidR="005C6988" w:rsidRPr="00373418" w:rsidRDefault="005C6988" w:rsidP="002A1F34">
            <w:pPr>
              <w:rPr>
                <w:b/>
              </w:rPr>
            </w:pPr>
            <w:r w:rsidRPr="00373418">
              <w:rPr>
                <w:b/>
              </w:rPr>
              <w:t>0,2</w:t>
            </w:r>
          </w:p>
        </w:tc>
      </w:tr>
      <w:tr w:rsidR="00373418" w:rsidRPr="00373418" w:rsidTr="00373418">
        <w:tc>
          <w:tcPr>
            <w:tcW w:w="1842" w:type="dxa"/>
          </w:tcPr>
          <w:p w:rsidR="005C6988" w:rsidRPr="00373418" w:rsidRDefault="005C6988" w:rsidP="002A1F34">
            <w:r w:rsidRPr="00373418">
              <w:t>Молба за правна помощ</w:t>
            </w:r>
          </w:p>
        </w:tc>
        <w:tc>
          <w:tcPr>
            <w:tcW w:w="1851" w:type="dxa"/>
          </w:tcPr>
          <w:p w:rsidR="00BC3573" w:rsidRDefault="005C6988" w:rsidP="002A1F34">
            <w:r w:rsidRPr="00373418">
              <w:t xml:space="preserve">Определение от 1.5.20 г. </w:t>
            </w:r>
            <w:r w:rsidR="00BC3573">
              <w:br/>
            </w:r>
          </w:p>
          <w:p w:rsidR="005C6988" w:rsidRPr="00BC3573" w:rsidRDefault="00BC3573" w:rsidP="00BC3573">
            <w:pPr>
              <w:rPr>
                <w:i/>
                <w:sz w:val="20"/>
                <w:szCs w:val="20"/>
              </w:rPr>
            </w:pPr>
            <w:r w:rsidRPr="00BC3573">
              <w:rPr>
                <w:i/>
                <w:sz w:val="20"/>
                <w:szCs w:val="20"/>
              </w:rPr>
              <w:t>* т.е. със същия акт</w:t>
            </w:r>
          </w:p>
        </w:tc>
        <w:tc>
          <w:tcPr>
            <w:tcW w:w="1842" w:type="dxa"/>
          </w:tcPr>
          <w:p w:rsidR="005C6988" w:rsidRPr="00373418" w:rsidRDefault="005C6988" w:rsidP="002A1F34">
            <w:pPr>
              <w:rPr>
                <w:color w:val="808080" w:themeColor="background1" w:themeShade="80"/>
              </w:rPr>
            </w:pPr>
            <w:r w:rsidRPr="00373418">
              <w:rPr>
                <w:color w:val="808080" w:themeColor="background1" w:themeShade="80"/>
              </w:rPr>
              <w:t>(</w:t>
            </w:r>
            <w:proofErr w:type="spellStart"/>
            <w:r w:rsidRPr="00373418">
              <w:rPr>
                <w:color w:val="808080" w:themeColor="background1" w:themeShade="80"/>
              </w:rPr>
              <w:t>неотносимо</w:t>
            </w:r>
            <w:proofErr w:type="spellEnd"/>
            <w:r w:rsidRPr="00373418">
              <w:rPr>
                <w:color w:val="808080" w:themeColor="background1" w:themeShade="80"/>
              </w:rPr>
              <w:t>)</w:t>
            </w:r>
          </w:p>
        </w:tc>
        <w:tc>
          <w:tcPr>
            <w:tcW w:w="1843" w:type="dxa"/>
          </w:tcPr>
          <w:p w:rsidR="005C6988" w:rsidRPr="00373418" w:rsidRDefault="005C6988" w:rsidP="002A1F34">
            <w:pPr>
              <w:rPr>
                <w:color w:val="808080" w:themeColor="background1" w:themeShade="80"/>
              </w:rPr>
            </w:pPr>
            <w:r w:rsidRPr="00373418">
              <w:rPr>
                <w:color w:val="808080" w:themeColor="background1" w:themeShade="80"/>
              </w:rPr>
              <w:t>(</w:t>
            </w:r>
            <w:proofErr w:type="spellStart"/>
            <w:r w:rsidRPr="00373418">
              <w:rPr>
                <w:color w:val="808080" w:themeColor="background1" w:themeShade="80"/>
              </w:rPr>
              <w:t>неотносимо</w:t>
            </w:r>
            <w:proofErr w:type="spellEnd"/>
            <w:r w:rsidRPr="00373418">
              <w:rPr>
                <w:color w:val="808080" w:themeColor="background1" w:themeShade="80"/>
              </w:rPr>
              <w:t>)</w:t>
            </w:r>
          </w:p>
        </w:tc>
        <w:tc>
          <w:tcPr>
            <w:tcW w:w="1843" w:type="dxa"/>
            <w:shd w:val="clear" w:color="auto" w:fill="FFFFFF" w:themeFill="background1"/>
          </w:tcPr>
          <w:p w:rsidR="005C6988" w:rsidRPr="00373418" w:rsidRDefault="005C6988" w:rsidP="002A1F34">
            <w:pPr>
              <w:rPr>
                <w:b/>
              </w:rPr>
            </w:pPr>
            <w:r w:rsidRPr="00373418">
              <w:rPr>
                <w:b/>
              </w:rPr>
              <w:t>0,1</w:t>
            </w:r>
          </w:p>
        </w:tc>
      </w:tr>
      <w:tr w:rsidR="00373418" w:rsidRPr="00373418" w:rsidTr="00373418">
        <w:tc>
          <w:tcPr>
            <w:tcW w:w="1842" w:type="dxa"/>
          </w:tcPr>
          <w:p w:rsidR="005C6988" w:rsidRPr="00373418" w:rsidRDefault="005C6988" w:rsidP="002A1F34">
            <w:r w:rsidRPr="00373418">
              <w:t>Насрочване</w:t>
            </w:r>
            <w:r w:rsidR="00BC3573">
              <w:t xml:space="preserve"> на дело, разглеждано с открито заседание</w:t>
            </w:r>
          </w:p>
        </w:tc>
        <w:tc>
          <w:tcPr>
            <w:tcW w:w="1851" w:type="dxa"/>
          </w:tcPr>
          <w:p w:rsidR="005C6988" w:rsidRPr="00373418" w:rsidRDefault="005C6988" w:rsidP="002A1F34">
            <w:r w:rsidRPr="00373418">
              <w:t>Определение от 1.</w:t>
            </w:r>
            <w:proofErr w:type="spellStart"/>
            <w:r w:rsidRPr="00373418">
              <w:t>1</w:t>
            </w:r>
            <w:proofErr w:type="spellEnd"/>
            <w:r w:rsidRPr="00373418">
              <w:t>.21 г.</w:t>
            </w:r>
          </w:p>
        </w:tc>
        <w:tc>
          <w:tcPr>
            <w:tcW w:w="1842" w:type="dxa"/>
          </w:tcPr>
          <w:p w:rsidR="00BC3573" w:rsidRDefault="005C6988" w:rsidP="002A1F34">
            <w:pPr>
              <w:rPr>
                <w:color w:val="808080" w:themeColor="background1" w:themeShade="80"/>
              </w:rPr>
            </w:pPr>
            <w:r w:rsidRPr="00373418">
              <w:rPr>
                <w:color w:val="808080" w:themeColor="background1" w:themeShade="80"/>
              </w:rPr>
              <w:t>1,5</w:t>
            </w:r>
          </w:p>
          <w:p w:rsidR="00BC3573" w:rsidRDefault="00BC3573" w:rsidP="002A1F34">
            <w:pPr>
              <w:rPr>
                <w:color w:val="808080" w:themeColor="background1" w:themeShade="80"/>
              </w:rPr>
            </w:pPr>
          </w:p>
          <w:p w:rsidR="005C6988" w:rsidRPr="00BC3573" w:rsidRDefault="00BC3573" w:rsidP="00BC3573">
            <w:pPr>
              <w:rPr>
                <w:i/>
                <w:color w:val="808080" w:themeColor="background1" w:themeShade="80"/>
                <w:sz w:val="20"/>
                <w:szCs w:val="20"/>
              </w:rPr>
            </w:pPr>
            <w:r w:rsidRPr="00BC3573">
              <w:rPr>
                <w:i/>
                <w:sz w:val="20"/>
                <w:szCs w:val="20"/>
              </w:rPr>
              <w:t>* т.е. вече има съединени насрещни искове</w:t>
            </w:r>
          </w:p>
        </w:tc>
        <w:tc>
          <w:tcPr>
            <w:tcW w:w="1843" w:type="dxa"/>
          </w:tcPr>
          <w:p w:rsidR="005C6988" w:rsidRPr="00373418" w:rsidRDefault="005C6988" w:rsidP="002A1F34">
            <w:pPr>
              <w:rPr>
                <w:color w:val="808080" w:themeColor="background1" w:themeShade="80"/>
              </w:rPr>
            </w:pPr>
            <w:r w:rsidRPr="00373418">
              <w:rPr>
                <w:color w:val="808080" w:themeColor="background1" w:themeShade="80"/>
              </w:rPr>
              <w:t>20%</w:t>
            </w:r>
          </w:p>
        </w:tc>
        <w:tc>
          <w:tcPr>
            <w:tcW w:w="1843" w:type="dxa"/>
            <w:shd w:val="clear" w:color="auto" w:fill="FFFFFF" w:themeFill="background1"/>
          </w:tcPr>
          <w:p w:rsidR="005C6988" w:rsidRPr="00373418" w:rsidRDefault="005C6988" w:rsidP="002A1F34">
            <w:pPr>
              <w:rPr>
                <w:b/>
              </w:rPr>
            </w:pPr>
            <w:r w:rsidRPr="00373418">
              <w:rPr>
                <w:b/>
              </w:rPr>
              <w:t>0,3</w:t>
            </w:r>
          </w:p>
        </w:tc>
      </w:tr>
      <w:tr w:rsidR="00373418" w:rsidRPr="00373418" w:rsidTr="00373418">
        <w:tc>
          <w:tcPr>
            <w:tcW w:w="1842" w:type="dxa"/>
          </w:tcPr>
          <w:p w:rsidR="005C6988" w:rsidRPr="00373418" w:rsidRDefault="005C6988" w:rsidP="002A1F34"/>
        </w:tc>
        <w:tc>
          <w:tcPr>
            <w:tcW w:w="1851" w:type="dxa"/>
          </w:tcPr>
          <w:p w:rsidR="005C6988" w:rsidRPr="00373418" w:rsidRDefault="005C6988" w:rsidP="002A1F34"/>
        </w:tc>
        <w:tc>
          <w:tcPr>
            <w:tcW w:w="1842" w:type="dxa"/>
          </w:tcPr>
          <w:p w:rsidR="005C6988" w:rsidRPr="00373418" w:rsidRDefault="005C6988" w:rsidP="002A1F34"/>
        </w:tc>
        <w:tc>
          <w:tcPr>
            <w:tcW w:w="1843" w:type="dxa"/>
          </w:tcPr>
          <w:p w:rsidR="005C6988" w:rsidRPr="00373418" w:rsidRDefault="005C6988" w:rsidP="002A1F34"/>
        </w:tc>
        <w:tc>
          <w:tcPr>
            <w:tcW w:w="1843" w:type="dxa"/>
            <w:shd w:val="clear" w:color="auto" w:fill="FFFFFF" w:themeFill="background1"/>
          </w:tcPr>
          <w:p w:rsidR="005C6988" w:rsidRPr="00373418" w:rsidRDefault="005C6988" w:rsidP="002A1F34">
            <w:pPr>
              <w:rPr>
                <w:b/>
              </w:rPr>
            </w:pPr>
          </w:p>
        </w:tc>
      </w:tr>
      <w:tr w:rsidR="00373418" w:rsidRPr="00373418" w:rsidTr="00BC3573">
        <w:tc>
          <w:tcPr>
            <w:tcW w:w="1842" w:type="dxa"/>
            <w:shd w:val="clear" w:color="auto" w:fill="A6A6A6" w:themeFill="background1" w:themeFillShade="A6"/>
          </w:tcPr>
          <w:p w:rsidR="005C6988" w:rsidRPr="00373418" w:rsidRDefault="005C6988" w:rsidP="002A1F34">
            <w:r w:rsidRPr="00373418">
              <w:t>Сума към момента</w:t>
            </w:r>
          </w:p>
        </w:tc>
        <w:tc>
          <w:tcPr>
            <w:tcW w:w="1851" w:type="dxa"/>
          </w:tcPr>
          <w:p w:rsidR="005C6988" w:rsidRPr="00373418" w:rsidRDefault="005C6988" w:rsidP="002A1F34"/>
        </w:tc>
        <w:tc>
          <w:tcPr>
            <w:tcW w:w="1842" w:type="dxa"/>
          </w:tcPr>
          <w:p w:rsidR="005C6988" w:rsidRPr="00373418" w:rsidRDefault="005C6988" w:rsidP="002A1F34"/>
        </w:tc>
        <w:tc>
          <w:tcPr>
            <w:tcW w:w="1843" w:type="dxa"/>
          </w:tcPr>
          <w:p w:rsidR="005C6988" w:rsidRPr="00373418" w:rsidRDefault="005C6988" w:rsidP="002A1F34"/>
        </w:tc>
        <w:tc>
          <w:tcPr>
            <w:tcW w:w="1843" w:type="dxa"/>
            <w:shd w:val="clear" w:color="auto" w:fill="A6A6A6" w:themeFill="background1" w:themeFillShade="A6"/>
          </w:tcPr>
          <w:p w:rsidR="005C6988" w:rsidRPr="00373418" w:rsidRDefault="005C6988" w:rsidP="00547166">
            <w:pPr>
              <w:rPr>
                <w:b/>
              </w:rPr>
            </w:pPr>
            <w:r w:rsidRPr="00373418">
              <w:rPr>
                <w:b/>
              </w:rPr>
              <w:t>0,</w:t>
            </w:r>
            <w:r w:rsidR="00547166" w:rsidRPr="00373418">
              <w:rPr>
                <w:b/>
              </w:rPr>
              <w:t>7</w:t>
            </w:r>
            <w:r w:rsidRPr="00373418">
              <w:rPr>
                <w:b/>
              </w:rPr>
              <w:t>5</w:t>
            </w:r>
          </w:p>
        </w:tc>
      </w:tr>
    </w:tbl>
    <w:p w:rsidR="005C6988" w:rsidRPr="00373418" w:rsidRDefault="005C6988" w:rsidP="005C6988">
      <w:pPr>
        <w:ind w:firstLine="708"/>
      </w:pPr>
    </w:p>
    <w:p w:rsidR="005C6988" w:rsidRPr="00373418" w:rsidRDefault="005C6988"/>
    <w:sectPr w:rsidR="005C6988" w:rsidRPr="003734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5F" w:rsidRDefault="00EF055F" w:rsidP="00EF055F">
      <w:r>
        <w:separator/>
      </w:r>
    </w:p>
  </w:endnote>
  <w:endnote w:type="continuationSeparator" w:id="0">
    <w:p w:rsidR="00EF055F" w:rsidRDefault="00EF055F" w:rsidP="00EF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5F" w:rsidRDefault="00EF055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5F" w:rsidRDefault="00EF055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5F" w:rsidRDefault="00EF05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5F" w:rsidRDefault="00EF055F" w:rsidP="00EF055F">
      <w:r>
        <w:separator/>
      </w:r>
    </w:p>
  </w:footnote>
  <w:footnote w:type="continuationSeparator" w:id="0">
    <w:p w:rsidR="00EF055F" w:rsidRDefault="00EF055F" w:rsidP="00EF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5F" w:rsidRDefault="00EF055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5F" w:rsidRDefault="00EF055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5F" w:rsidRDefault="00EF05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A52"/>
    <w:multiLevelType w:val="multilevel"/>
    <w:tmpl w:val="AFD031CE"/>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12BE405D"/>
    <w:multiLevelType w:val="hybridMultilevel"/>
    <w:tmpl w:val="9FFCFF2A"/>
    <w:lvl w:ilvl="0" w:tplc="4AB8FC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21336A8E"/>
    <w:multiLevelType w:val="hybridMultilevel"/>
    <w:tmpl w:val="0248F816"/>
    <w:lvl w:ilvl="0" w:tplc="1EDAD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CB4874"/>
    <w:multiLevelType w:val="multilevel"/>
    <w:tmpl w:val="924AB42C"/>
    <w:lvl w:ilvl="0">
      <w:start w:val="2"/>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4">
    <w:nsid w:val="34F557C1"/>
    <w:multiLevelType w:val="multilevel"/>
    <w:tmpl w:val="BDF4E9BA"/>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986529E"/>
    <w:multiLevelType w:val="multilevel"/>
    <w:tmpl w:val="85B6213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4B729D0"/>
    <w:multiLevelType w:val="multilevel"/>
    <w:tmpl w:val="B9D81E3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5B37DD4"/>
    <w:multiLevelType w:val="multilevel"/>
    <w:tmpl w:val="E596637E"/>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7F768D5"/>
    <w:multiLevelType w:val="hybridMultilevel"/>
    <w:tmpl w:val="DEF62F70"/>
    <w:lvl w:ilvl="0" w:tplc="BA3E6E8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5C0F05F6"/>
    <w:multiLevelType w:val="hybridMultilevel"/>
    <w:tmpl w:val="0142A9EA"/>
    <w:lvl w:ilvl="0" w:tplc="F8F097B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6BC40375"/>
    <w:multiLevelType w:val="multilevel"/>
    <w:tmpl w:val="8EB09FD8"/>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1"/>
  </w:num>
  <w:num w:numId="3">
    <w:abstractNumId w:val="9"/>
  </w:num>
  <w:num w:numId="4">
    <w:abstractNumId w:val="2"/>
  </w:num>
  <w:num w:numId="5">
    <w:abstractNumId w:val="0"/>
  </w:num>
  <w:num w:numId="6">
    <w:abstractNumId w:val="3"/>
  </w:num>
  <w:num w:numId="7">
    <w:abstractNumId w:val="6"/>
  </w:num>
  <w:num w:numId="8">
    <w:abstractNumId w:val="4"/>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6A"/>
    <w:rsid w:val="000278AB"/>
    <w:rsid w:val="000F5B1D"/>
    <w:rsid w:val="0014460E"/>
    <w:rsid w:val="0018680C"/>
    <w:rsid w:val="00193325"/>
    <w:rsid w:val="001F40F6"/>
    <w:rsid w:val="0026143A"/>
    <w:rsid w:val="00270DA0"/>
    <w:rsid w:val="002C006E"/>
    <w:rsid w:val="002D2E30"/>
    <w:rsid w:val="003421A6"/>
    <w:rsid w:val="00345706"/>
    <w:rsid w:val="00364BCE"/>
    <w:rsid w:val="00373418"/>
    <w:rsid w:val="003C0674"/>
    <w:rsid w:val="003C4D38"/>
    <w:rsid w:val="00406D75"/>
    <w:rsid w:val="00547166"/>
    <w:rsid w:val="005637AA"/>
    <w:rsid w:val="005C6988"/>
    <w:rsid w:val="005D453C"/>
    <w:rsid w:val="00654713"/>
    <w:rsid w:val="0065596D"/>
    <w:rsid w:val="006617BA"/>
    <w:rsid w:val="0068586C"/>
    <w:rsid w:val="006C59A5"/>
    <w:rsid w:val="006E0ED8"/>
    <w:rsid w:val="007B58DA"/>
    <w:rsid w:val="007E748F"/>
    <w:rsid w:val="00803678"/>
    <w:rsid w:val="0081649A"/>
    <w:rsid w:val="008A7571"/>
    <w:rsid w:val="00A90C0F"/>
    <w:rsid w:val="00AA2F42"/>
    <w:rsid w:val="00AB4CA3"/>
    <w:rsid w:val="00B072FE"/>
    <w:rsid w:val="00BC3573"/>
    <w:rsid w:val="00BE7C73"/>
    <w:rsid w:val="00BF0DEE"/>
    <w:rsid w:val="00D4526A"/>
    <w:rsid w:val="00D92B32"/>
    <w:rsid w:val="00E8781F"/>
    <w:rsid w:val="00E95F32"/>
    <w:rsid w:val="00EF055F"/>
    <w:rsid w:val="00F9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6A"/>
    <w:pPr>
      <w:spacing w:after="0" w:line="240" w:lineRule="auto"/>
      <w:jc w:val="both"/>
    </w:pPr>
    <w:rPr>
      <w:rFonts w:ascii="Arial" w:eastAsia="Times New Roman" w:hAnsi="Arial"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26A"/>
    <w:pPr>
      <w:ind w:left="720"/>
      <w:contextualSpacing/>
    </w:pPr>
  </w:style>
  <w:style w:type="table" w:styleId="a4">
    <w:name w:val="Table Grid"/>
    <w:basedOn w:val="a1"/>
    <w:uiPriority w:val="39"/>
    <w:rsid w:val="0036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055F"/>
    <w:pPr>
      <w:tabs>
        <w:tab w:val="center" w:pos="4536"/>
        <w:tab w:val="right" w:pos="9072"/>
      </w:tabs>
    </w:pPr>
  </w:style>
  <w:style w:type="character" w:customStyle="1" w:styleId="a6">
    <w:name w:val="Горен колонтитул Знак"/>
    <w:basedOn w:val="a0"/>
    <w:link w:val="a5"/>
    <w:uiPriority w:val="99"/>
    <w:rsid w:val="00EF055F"/>
    <w:rPr>
      <w:rFonts w:ascii="Arial" w:eastAsia="Times New Roman" w:hAnsi="Arial" w:cs="Times New Roman"/>
      <w:sz w:val="24"/>
      <w:szCs w:val="24"/>
      <w:lang w:val="bg-BG" w:eastAsia="bg-BG"/>
    </w:rPr>
  </w:style>
  <w:style w:type="paragraph" w:styleId="a7">
    <w:name w:val="footer"/>
    <w:basedOn w:val="a"/>
    <w:link w:val="a8"/>
    <w:uiPriority w:val="99"/>
    <w:unhideWhenUsed/>
    <w:rsid w:val="00EF055F"/>
    <w:pPr>
      <w:tabs>
        <w:tab w:val="center" w:pos="4536"/>
        <w:tab w:val="right" w:pos="9072"/>
      </w:tabs>
    </w:pPr>
  </w:style>
  <w:style w:type="character" w:customStyle="1" w:styleId="a8">
    <w:name w:val="Долен колонтитул Знак"/>
    <w:basedOn w:val="a0"/>
    <w:link w:val="a7"/>
    <w:uiPriority w:val="99"/>
    <w:rsid w:val="00EF055F"/>
    <w:rPr>
      <w:rFonts w:ascii="Arial" w:eastAsia="Times New Roman" w:hAnsi="Arial"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6A"/>
    <w:pPr>
      <w:spacing w:after="0" w:line="240" w:lineRule="auto"/>
      <w:jc w:val="both"/>
    </w:pPr>
    <w:rPr>
      <w:rFonts w:ascii="Arial" w:eastAsia="Times New Roman" w:hAnsi="Arial"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26A"/>
    <w:pPr>
      <w:ind w:left="720"/>
      <w:contextualSpacing/>
    </w:pPr>
  </w:style>
  <w:style w:type="table" w:styleId="a4">
    <w:name w:val="Table Grid"/>
    <w:basedOn w:val="a1"/>
    <w:uiPriority w:val="39"/>
    <w:rsid w:val="0036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055F"/>
    <w:pPr>
      <w:tabs>
        <w:tab w:val="center" w:pos="4536"/>
        <w:tab w:val="right" w:pos="9072"/>
      </w:tabs>
    </w:pPr>
  </w:style>
  <w:style w:type="character" w:customStyle="1" w:styleId="a6">
    <w:name w:val="Горен колонтитул Знак"/>
    <w:basedOn w:val="a0"/>
    <w:link w:val="a5"/>
    <w:uiPriority w:val="99"/>
    <w:rsid w:val="00EF055F"/>
    <w:rPr>
      <w:rFonts w:ascii="Arial" w:eastAsia="Times New Roman" w:hAnsi="Arial" w:cs="Times New Roman"/>
      <w:sz w:val="24"/>
      <w:szCs w:val="24"/>
      <w:lang w:val="bg-BG" w:eastAsia="bg-BG"/>
    </w:rPr>
  </w:style>
  <w:style w:type="paragraph" w:styleId="a7">
    <w:name w:val="footer"/>
    <w:basedOn w:val="a"/>
    <w:link w:val="a8"/>
    <w:uiPriority w:val="99"/>
    <w:unhideWhenUsed/>
    <w:rsid w:val="00EF055F"/>
    <w:pPr>
      <w:tabs>
        <w:tab w:val="center" w:pos="4536"/>
        <w:tab w:val="right" w:pos="9072"/>
      </w:tabs>
    </w:pPr>
  </w:style>
  <w:style w:type="character" w:customStyle="1" w:styleId="a8">
    <w:name w:val="Долен колонтитул Знак"/>
    <w:basedOn w:val="a0"/>
    <w:link w:val="a7"/>
    <w:uiPriority w:val="99"/>
    <w:rsid w:val="00EF055F"/>
    <w:rPr>
      <w:rFonts w:ascii="Arial" w:eastAsia="Times New Roman" w:hAnsi="Arial"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7371</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2020-10-12T16:51:00Z</dcterms:created>
  <dcterms:modified xsi:type="dcterms:W3CDTF">2020-10-12T16:52:00Z</dcterms:modified>
</cp:coreProperties>
</file>