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FD12" w14:textId="2C41D36F" w:rsidR="00A455E5" w:rsidRPr="008B5B08" w:rsidRDefault="00EA0BE1" w:rsidP="00A455E5">
      <w:pPr>
        <w:jc w:val="center"/>
        <w:rPr>
          <w:b/>
          <w:sz w:val="36"/>
          <w:szCs w:val="36"/>
        </w:rPr>
      </w:pPr>
      <w:r w:rsidRPr="00344E31"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0588397E" wp14:editId="5612448E">
            <wp:simplePos x="0" y="0"/>
            <wp:positionH relativeFrom="column">
              <wp:posOffset>-446405</wp:posOffset>
            </wp:positionH>
            <wp:positionV relativeFrom="paragraph">
              <wp:posOffset>-280035</wp:posOffset>
            </wp:positionV>
            <wp:extent cx="1846580" cy="1617980"/>
            <wp:effectExtent l="19050" t="0" r="1270" b="0"/>
            <wp:wrapSquare wrapText="bothSides"/>
            <wp:docPr id="3" name="Picture 2" descr="Znak+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+Na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5E5" w:rsidRPr="00344E31">
        <w:rPr>
          <w:b/>
          <w:sz w:val="36"/>
          <w:szCs w:val="36"/>
        </w:rPr>
        <w:t>РЕПУБЛИКА БЪЛГАРИЯ</w:t>
      </w:r>
    </w:p>
    <w:p w14:paraId="17137E5F" w14:textId="77777777" w:rsidR="00A455E5" w:rsidRPr="008B5B08" w:rsidRDefault="00A455E5" w:rsidP="00A455E5">
      <w:pPr>
        <w:jc w:val="center"/>
        <w:rPr>
          <w:b/>
          <w:sz w:val="36"/>
          <w:szCs w:val="36"/>
          <w:u w:val="single"/>
        </w:rPr>
      </w:pPr>
      <w:r w:rsidRPr="00344E31">
        <w:rPr>
          <w:b/>
          <w:sz w:val="36"/>
          <w:szCs w:val="36"/>
          <w:u w:val="single"/>
        </w:rPr>
        <w:t>ВИСШ АДВОКАТСКИ СЪВЕТ</w:t>
      </w:r>
    </w:p>
    <w:p w14:paraId="61E3CC64" w14:textId="77777777" w:rsidR="00A455E5" w:rsidRPr="008B5B08" w:rsidRDefault="00A455E5" w:rsidP="00A455E5">
      <w:pPr>
        <w:jc w:val="center"/>
        <w:rPr>
          <w:sz w:val="18"/>
          <w:szCs w:val="18"/>
        </w:rPr>
      </w:pPr>
      <w:r w:rsidRPr="008B5B08">
        <w:rPr>
          <w:sz w:val="18"/>
          <w:szCs w:val="18"/>
        </w:rPr>
        <w:t>ул. „Цар Калоян” № 1</w:t>
      </w:r>
      <w:r w:rsidRPr="00344E31">
        <w:rPr>
          <w:sz w:val="18"/>
          <w:szCs w:val="18"/>
        </w:rPr>
        <w:t xml:space="preserve">-а, 1000 София, тел. 986-28-61, 987-55-13, </w:t>
      </w:r>
    </w:p>
    <w:p w14:paraId="7B24F5E9" w14:textId="77777777" w:rsidR="00A455E5" w:rsidRPr="008B5B08" w:rsidRDefault="00A455E5" w:rsidP="00A455E5">
      <w:pPr>
        <w:jc w:val="center"/>
        <w:rPr>
          <w:sz w:val="18"/>
          <w:szCs w:val="18"/>
        </w:rPr>
      </w:pPr>
      <w:r w:rsidRPr="008B5B08">
        <w:rPr>
          <w:sz w:val="18"/>
          <w:szCs w:val="18"/>
        </w:rPr>
        <w:t xml:space="preserve">факс 987-65-14, </w:t>
      </w:r>
      <w:hyperlink r:id="rId9" w:history="1">
        <w:r w:rsidRPr="008B5B08">
          <w:rPr>
            <w:rStyle w:val="Hyperlink"/>
            <w:sz w:val="18"/>
            <w:szCs w:val="18"/>
          </w:rPr>
          <w:t>e-mail:</w:t>
        </w:r>
        <w:r w:rsidR="00EA0BE1" w:rsidRPr="008B5B08">
          <w:rPr>
            <w:rStyle w:val="Hyperlink"/>
            <w:sz w:val="18"/>
            <w:szCs w:val="18"/>
          </w:rPr>
          <w:t xml:space="preserve"> </w:t>
        </w:r>
        <w:r w:rsidRPr="008B5B08">
          <w:rPr>
            <w:rStyle w:val="Hyperlink"/>
            <w:sz w:val="18"/>
            <w:szCs w:val="18"/>
          </w:rPr>
          <w:t>arch@</w:t>
        </w:r>
        <w:r w:rsidR="00EA0BE1" w:rsidRPr="008B5B08">
          <w:rPr>
            <w:rStyle w:val="Hyperlink"/>
            <w:sz w:val="18"/>
            <w:szCs w:val="18"/>
          </w:rPr>
          <w:t>vas.</w:t>
        </w:r>
        <w:r w:rsidRPr="008B5B08">
          <w:rPr>
            <w:rStyle w:val="Hyperlink"/>
            <w:sz w:val="18"/>
            <w:szCs w:val="18"/>
          </w:rPr>
          <w:t>com</w:t>
        </w:r>
      </w:hyperlink>
    </w:p>
    <w:p w14:paraId="53FAE6D3" w14:textId="77777777" w:rsidR="00A455E5" w:rsidRPr="00344E31" w:rsidRDefault="00A455E5" w:rsidP="00A455E5">
      <w:pPr>
        <w:jc w:val="center"/>
        <w:rPr>
          <w:sz w:val="18"/>
          <w:szCs w:val="18"/>
          <w:u w:val="single"/>
        </w:rPr>
      </w:pPr>
    </w:p>
    <w:p w14:paraId="5B761E2B" w14:textId="77777777" w:rsidR="00A455E5" w:rsidRPr="008B5B08" w:rsidRDefault="00A455E5" w:rsidP="00A455E5">
      <w:pPr>
        <w:rPr>
          <w:sz w:val="18"/>
          <w:szCs w:val="18"/>
          <w:u w:val="single"/>
        </w:rPr>
      </w:pPr>
    </w:p>
    <w:p w14:paraId="5D703894" w14:textId="77777777" w:rsidR="00A455E5" w:rsidRPr="008B5B08" w:rsidRDefault="00A455E5" w:rsidP="00A455E5">
      <w:pPr>
        <w:jc w:val="both"/>
        <w:rPr>
          <w:sz w:val="26"/>
          <w:szCs w:val="26"/>
        </w:rPr>
      </w:pPr>
    </w:p>
    <w:p w14:paraId="35376141" w14:textId="77777777" w:rsidR="00A455E5" w:rsidRPr="008B5B08" w:rsidRDefault="00A455E5" w:rsidP="00A455E5">
      <w:pPr>
        <w:jc w:val="both"/>
      </w:pPr>
    </w:p>
    <w:p w14:paraId="289ACC23" w14:textId="77777777" w:rsidR="002834D0" w:rsidRPr="00EF461D" w:rsidRDefault="002834D0" w:rsidP="00A455E5">
      <w:pPr>
        <w:jc w:val="both"/>
        <w:rPr>
          <w:sz w:val="28"/>
          <w:szCs w:val="28"/>
          <w:lang w:val="de-DE"/>
        </w:rPr>
      </w:pPr>
    </w:p>
    <w:p w14:paraId="5596262B" w14:textId="77777777" w:rsidR="00B268D0" w:rsidRPr="008B5B08" w:rsidRDefault="00A455E5" w:rsidP="00A455E5">
      <w:pPr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Изх. </w:t>
      </w:r>
      <w:r w:rsidR="00EC68A0" w:rsidRPr="00344E31">
        <w:rPr>
          <w:sz w:val="28"/>
          <w:szCs w:val="28"/>
        </w:rPr>
        <w:t>……………</w:t>
      </w:r>
      <w:r w:rsidR="00115194" w:rsidRPr="008B5B08">
        <w:rPr>
          <w:sz w:val="28"/>
          <w:szCs w:val="28"/>
        </w:rPr>
        <w:t>.</w:t>
      </w:r>
    </w:p>
    <w:p w14:paraId="7C431616" w14:textId="6B51A341" w:rsidR="00A455E5" w:rsidRPr="00836E8F" w:rsidRDefault="00A455E5" w:rsidP="00BF6E5B">
      <w:pPr>
        <w:jc w:val="both"/>
        <w:rPr>
          <w:sz w:val="28"/>
          <w:szCs w:val="28"/>
        </w:rPr>
      </w:pPr>
      <w:r w:rsidRPr="00344E31">
        <w:rPr>
          <w:sz w:val="28"/>
          <w:szCs w:val="28"/>
        </w:rPr>
        <w:t>Д</w:t>
      </w:r>
      <w:r w:rsidRPr="008B5B08">
        <w:rPr>
          <w:sz w:val="28"/>
          <w:szCs w:val="28"/>
        </w:rPr>
        <w:t xml:space="preserve">ата </w:t>
      </w:r>
      <w:r w:rsidR="00EC68A0" w:rsidRPr="008B5B08">
        <w:rPr>
          <w:sz w:val="28"/>
          <w:szCs w:val="28"/>
        </w:rPr>
        <w:t>……………</w:t>
      </w:r>
      <w:r w:rsidR="00B268D0" w:rsidRPr="008B5B08">
        <w:rPr>
          <w:sz w:val="28"/>
          <w:szCs w:val="28"/>
        </w:rPr>
        <w:t>.</w:t>
      </w:r>
      <w:r w:rsidRPr="008B5B08">
        <w:rPr>
          <w:sz w:val="28"/>
          <w:szCs w:val="28"/>
        </w:rPr>
        <w:t>201</w:t>
      </w:r>
      <w:r w:rsidR="00C67344" w:rsidRPr="00352427">
        <w:rPr>
          <w:sz w:val="28"/>
          <w:szCs w:val="28"/>
          <w:lang w:val="ru-RU"/>
        </w:rPr>
        <w:t>8</w:t>
      </w:r>
      <w:r w:rsidRPr="008B5B08">
        <w:rPr>
          <w:sz w:val="28"/>
          <w:szCs w:val="28"/>
        </w:rPr>
        <w:t xml:space="preserve"> г.</w:t>
      </w:r>
      <w:r w:rsidR="00836E8F">
        <w:rPr>
          <w:sz w:val="28"/>
          <w:szCs w:val="28"/>
        </w:rPr>
        <w:tab/>
      </w:r>
      <w:r w:rsidR="00836E8F">
        <w:rPr>
          <w:sz w:val="28"/>
          <w:szCs w:val="28"/>
        </w:rPr>
        <w:tab/>
      </w:r>
      <w:r w:rsidR="00836E8F">
        <w:rPr>
          <w:sz w:val="28"/>
          <w:szCs w:val="28"/>
        </w:rPr>
        <w:tab/>
      </w:r>
      <w:r w:rsidR="00836E8F">
        <w:rPr>
          <w:sz w:val="28"/>
          <w:szCs w:val="28"/>
        </w:rPr>
        <w:tab/>
      </w:r>
      <w:r w:rsidR="00836E8F">
        <w:rPr>
          <w:sz w:val="28"/>
          <w:szCs w:val="28"/>
        </w:rPr>
        <w:tab/>
      </w:r>
      <w:r w:rsidR="00836E8F">
        <w:rPr>
          <w:sz w:val="28"/>
          <w:szCs w:val="28"/>
        </w:rPr>
        <w:tab/>
      </w:r>
      <w:r w:rsidR="00836E8F">
        <w:rPr>
          <w:sz w:val="28"/>
          <w:szCs w:val="28"/>
        </w:rPr>
        <w:tab/>
      </w:r>
    </w:p>
    <w:p w14:paraId="34B33B5C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ДО</w:t>
      </w:r>
    </w:p>
    <w:p w14:paraId="5AF90B84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КОНСТИТУЦИОННИЯ СЪД </w:t>
      </w:r>
    </w:p>
    <w:p w14:paraId="1F3BB1A7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НА РЕПУБЛИКА БЪЛГАРИЯ </w:t>
      </w:r>
    </w:p>
    <w:p w14:paraId="501B2052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</w:p>
    <w:p w14:paraId="3BB3BCA9" w14:textId="77777777" w:rsidR="00EA0BE1" w:rsidRPr="00344E31" w:rsidRDefault="00EA0BE1" w:rsidP="00BF6E5B">
      <w:pPr>
        <w:rPr>
          <w:b/>
          <w:sz w:val="28"/>
          <w:szCs w:val="28"/>
        </w:rPr>
      </w:pPr>
    </w:p>
    <w:p w14:paraId="7959752F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СТАНОВИЩЕ</w:t>
      </w:r>
    </w:p>
    <w:p w14:paraId="77F18B73" w14:textId="77777777" w:rsidR="00EA0BE1" w:rsidRPr="008B5B08" w:rsidRDefault="00EA0BE1" w:rsidP="00BF6E5B">
      <w:pPr>
        <w:rPr>
          <w:b/>
          <w:sz w:val="28"/>
          <w:szCs w:val="28"/>
        </w:rPr>
      </w:pPr>
    </w:p>
    <w:p w14:paraId="087FB2E4" w14:textId="77777777" w:rsidR="00BF6E5B" w:rsidRPr="008B5B08" w:rsidRDefault="00BF6E5B" w:rsidP="00BF6E5B">
      <w:pPr>
        <w:rPr>
          <w:b/>
          <w:sz w:val="28"/>
          <w:szCs w:val="28"/>
        </w:rPr>
      </w:pPr>
    </w:p>
    <w:p w14:paraId="25FE8EE6" w14:textId="77777777" w:rsidR="00A455E5" w:rsidRPr="008B5B08" w:rsidRDefault="00DD0606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ОТ</w:t>
      </w:r>
      <w:r w:rsidR="00A455E5" w:rsidRPr="008B5B08">
        <w:rPr>
          <w:b/>
          <w:sz w:val="28"/>
          <w:szCs w:val="28"/>
        </w:rPr>
        <w:t xml:space="preserve"> ВИСШИЯ АДВОКАТСКИ СЪВЕТ</w:t>
      </w:r>
    </w:p>
    <w:p w14:paraId="31BCDEA1" w14:textId="77777777"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 </w:t>
      </w:r>
    </w:p>
    <w:p w14:paraId="35B58E7F" w14:textId="77777777" w:rsidR="00A455E5" w:rsidRPr="008B5B08" w:rsidRDefault="00A455E5" w:rsidP="00A455E5">
      <w:pPr>
        <w:ind w:left="4536"/>
        <w:rPr>
          <w:b/>
          <w:sz w:val="28"/>
          <w:szCs w:val="28"/>
          <w:u w:val="single"/>
        </w:rPr>
      </w:pPr>
      <w:r w:rsidRPr="008B5B08">
        <w:rPr>
          <w:b/>
          <w:sz w:val="28"/>
          <w:szCs w:val="28"/>
          <w:u w:val="single"/>
        </w:rPr>
        <w:t>ПО КОНСТИТУЦИОННО ДЕЛО</w:t>
      </w:r>
    </w:p>
    <w:p w14:paraId="112866F8" w14:textId="19BE20F1" w:rsidR="00A455E5" w:rsidRPr="008B5B08" w:rsidRDefault="00A455E5" w:rsidP="00A455E5">
      <w:pPr>
        <w:ind w:left="4536"/>
        <w:rPr>
          <w:b/>
          <w:sz w:val="28"/>
          <w:szCs w:val="28"/>
          <w:u w:val="single"/>
        </w:rPr>
      </w:pPr>
      <w:r w:rsidRPr="008B5B08">
        <w:rPr>
          <w:b/>
          <w:sz w:val="28"/>
          <w:szCs w:val="28"/>
          <w:u w:val="single"/>
        </w:rPr>
        <w:t xml:space="preserve">№ </w:t>
      </w:r>
      <w:r w:rsidR="00E81E99">
        <w:rPr>
          <w:b/>
          <w:sz w:val="28"/>
          <w:szCs w:val="28"/>
          <w:u w:val="single"/>
        </w:rPr>
        <w:t>9</w:t>
      </w:r>
      <w:r w:rsidRPr="00344E31">
        <w:rPr>
          <w:b/>
          <w:sz w:val="28"/>
          <w:szCs w:val="28"/>
          <w:u w:val="single"/>
        </w:rPr>
        <w:t>/201</w:t>
      </w:r>
      <w:r w:rsidR="00C67344">
        <w:rPr>
          <w:b/>
          <w:sz w:val="28"/>
          <w:szCs w:val="28"/>
          <w:u w:val="single"/>
        </w:rPr>
        <w:t>8</w:t>
      </w:r>
      <w:r w:rsidRPr="008B5B08">
        <w:rPr>
          <w:b/>
          <w:sz w:val="28"/>
          <w:szCs w:val="28"/>
          <w:u w:val="single"/>
        </w:rPr>
        <w:t xml:space="preserve"> г.</w:t>
      </w:r>
    </w:p>
    <w:p w14:paraId="4C446CFB" w14:textId="77777777" w:rsidR="00A455E5" w:rsidRPr="00344E31" w:rsidRDefault="00A455E5" w:rsidP="005D5EA9">
      <w:pPr>
        <w:rPr>
          <w:b/>
          <w:sz w:val="28"/>
          <w:szCs w:val="28"/>
          <w:u w:val="single"/>
        </w:rPr>
      </w:pPr>
    </w:p>
    <w:p w14:paraId="7815C574" w14:textId="77777777" w:rsidR="00CC5159" w:rsidRPr="008B5B08" w:rsidRDefault="00CC5159" w:rsidP="00A455E5">
      <w:pPr>
        <w:ind w:left="4536"/>
        <w:rPr>
          <w:b/>
          <w:sz w:val="28"/>
          <w:szCs w:val="28"/>
          <w:u w:val="single"/>
        </w:rPr>
      </w:pPr>
    </w:p>
    <w:p w14:paraId="7644DF09" w14:textId="77777777" w:rsidR="00EA0BE1" w:rsidRDefault="00EA0BE1" w:rsidP="00A455E5">
      <w:pPr>
        <w:jc w:val="center"/>
        <w:rPr>
          <w:b/>
          <w:sz w:val="28"/>
          <w:szCs w:val="28"/>
          <w:u w:val="single"/>
        </w:rPr>
      </w:pPr>
    </w:p>
    <w:p w14:paraId="53B408D8" w14:textId="77777777" w:rsidR="002C7518" w:rsidRPr="008B5B08" w:rsidRDefault="002C7518" w:rsidP="00A455E5">
      <w:pPr>
        <w:jc w:val="center"/>
        <w:rPr>
          <w:b/>
          <w:sz w:val="28"/>
          <w:szCs w:val="28"/>
          <w:u w:val="single"/>
        </w:rPr>
      </w:pPr>
    </w:p>
    <w:p w14:paraId="0DD23125" w14:textId="7C70C4B8" w:rsidR="002C7518" w:rsidRPr="008B5B08" w:rsidRDefault="00EA0BE1" w:rsidP="00EA0BE1">
      <w:pPr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ab/>
      </w:r>
      <w:r w:rsidR="00A455E5" w:rsidRPr="00344E31">
        <w:rPr>
          <w:b/>
          <w:sz w:val="28"/>
          <w:szCs w:val="28"/>
        </w:rPr>
        <w:t>УВАЖАЕМИ КОНСТИТУЦИОННИ СЪДИИ,</w:t>
      </w:r>
    </w:p>
    <w:p w14:paraId="23BD7CAD" w14:textId="77777777" w:rsidR="00A455E5" w:rsidRPr="008B5B08" w:rsidRDefault="00A455E5" w:rsidP="00EA0BE1">
      <w:pPr>
        <w:ind w:firstLine="708"/>
        <w:jc w:val="both"/>
        <w:rPr>
          <w:sz w:val="26"/>
          <w:szCs w:val="26"/>
        </w:rPr>
      </w:pPr>
    </w:p>
    <w:p w14:paraId="0D0D3ADC" w14:textId="74273EC0" w:rsidR="0092507A" w:rsidRDefault="008135E4" w:rsidP="00B661D6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>Конституционното дело е образувано</w:t>
      </w:r>
      <w:r w:rsidR="00A222FE" w:rsidRPr="008B5B08">
        <w:rPr>
          <w:sz w:val="28"/>
          <w:szCs w:val="28"/>
        </w:rPr>
        <w:t xml:space="preserve"> по и</w:t>
      </w:r>
      <w:r w:rsidR="00CF1B41" w:rsidRPr="008B5B08">
        <w:rPr>
          <w:sz w:val="28"/>
          <w:szCs w:val="28"/>
        </w:rPr>
        <w:t xml:space="preserve">скане на </w:t>
      </w:r>
      <w:r w:rsidR="009D5BC8">
        <w:rPr>
          <w:sz w:val="28"/>
          <w:szCs w:val="28"/>
        </w:rPr>
        <w:t xml:space="preserve">състав на </w:t>
      </w:r>
      <w:r w:rsidR="0092507A" w:rsidRPr="0092507A">
        <w:rPr>
          <w:sz w:val="28"/>
          <w:szCs w:val="28"/>
        </w:rPr>
        <w:t>Върховния касационен съд</w:t>
      </w:r>
      <w:r w:rsidR="0092507A">
        <w:rPr>
          <w:sz w:val="28"/>
          <w:szCs w:val="28"/>
        </w:rPr>
        <w:t xml:space="preserve"> </w:t>
      </w:r>
      <w:r w:rsidR="00CF1B41" w:rsidRPr="008B5B08">
        <w:rPr>
          <w:sz w:val="28"/>
          <w:szCs w:val="28"/>
        </w:rPr>
        <w:t>на Република България</w:t>
      </w:r>
      <w:r w:rsidR="00C81BDB">
        <w:rPr>
          <w:sz w:val="28"/>
          <w:szCs w:val="28"/>
        </w:rPr>
        <w:t xml:space="preserve"> (ВКС)</w:t>
      </w:r>
      <w:r w:rsidR="00E81E99">
        <w:rPr>
          <w:sz w:val="28"/>
          <w:szCs w:val="28"/>
        </w:rPr>
        <w:t xml:space="preserve"> на 28.03</w:t>
      </w:r>
      <w:r w:rsidR="0092507A">
        <w:rPr>
          <w:sz w:val="28"/>
          <w:szCs w:val="28"/>
        </w:rPr>
        <w:t>.2018</w:t>
      </w:r>
      <w:r w:rsidR="00B661D6" w:rsidRPr="008B5B08">
        <w:rPr>
          <w:sz w:val="28"/>
          <w:szCs w:val="28"/>
        </w:rPr>
        <w:t xml:space="preserve"> г. и е по ред</w:t>
      </w:r>
      <w:r w:rsidR="0092507A">
        <w:rPr>
          <w:sz w:val="28"/>
          <w:szCs w:val="28"/>
        </w:rPr>
        <w:t>а на чл. 149, ал. 1, т. 2</w:t>
      </w:r>
      <w:r w:rsidR="00B661D6" w:rsidRPr="008B5B08">
        <w:rPr>
          <w:sz w:val="28"/>
          <w:szCs w:val="28"/>
        </w:rPr>
        <w:t xml:space="preserve"> от Конституцията. </w:t>
      </w:r>
    </w:p>
    <w:p w14:paraId="5A5F9C0D" w14:textId="638D8DFE" w:rsidR="00E81E99" w:rsidRPr="00E81E99" w:rsidRDefault="00554A43" w:rsidP="00B4047D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</w:t>
      </w:r>
      <w:r w:rsidR="009D5BC8">
        <w:rPr>
          <w:sz w:val="28"/>
          <w:szCs w:val="28"/>
        </w:rPr>
        <w:t>ъстав</w:t>
      </w:r>
      <w:r>
        <w:rPr>
          <w:sz w:val="28"/>
          <w:szCs w:val="28"/>
        </w:rPr>
        <w:t>ът</w:t>
      </w:r>
      <w:r w:rsidR="009D5BC8">
        <w:rPr>
          <w:sz w:val="28"/>
          <w:szCs w:val="28"/>
        </w:rPr>
        <w:t xml:space="preserve"> на </w:t>
      </w:r>
      <w:r w:rsidR="00C81BDB">
        <w:rPr>
          <w:sz w:val="28"/>
          <w:szCs w:val="28"/>
        </w:rPr>
        <w:t>ВКС</w:t>
      </w:r>
      <w:r>
        <w:rPr>
          <w:sz w:val="28"/>
          <w:szCs w:val="28"/>
        </w:rPr>
        <w:t xml:space="preserve"> </w:t>
      </w:r>
      <w:r w:rsidR="00F846E5">
        <w:rPr>
          <w:sz w:val="28"/>
          <w:szCs w:val="28"/>
        </w:rPr>
        <w:t>иска</w:t>
      </w:r>
      <w:r w:rsidR="00161623" w:rsidRPr="00161623">
        <w:rPr>
          <w:sz w:val="28"/>
          <w:szCs w:val="28"/>
        </w:rPr>
        <w:t xml:space="preserve"> установяване на противоконституционност на </w:t>
      </w:r>
      <w:r w:rsidR="00E81E99" w:rsidRPr="00E81E99">
        <w:rPr>
          <w:sz w:val="28"/>
          <w:szCs w:val="28"/>
        </w:rPr>
        <w:t>чл. 225, ал. 3 от Закон за съдебната власт (ЗСВ), (обн. ДВ, бр. 64 от 07.08.2007 г., последно изм. и доп. ДВ, бр. 49 от  12.06.2018 г.)</w:t>
      </w:r>
      <w:r w:rsidR="00161623" w:rsidRPr="00161623">
        <w:rPr>
          <w:sz w:val="28"/>
          <w:szCs w:val="28"/>
        </w:rPr>
        <w:t>.</w:t>
      </w:r>
      <w:r w:rsidR="00161623">
        <w:rPr>
          <w:sz w:val="28"/>
          <w:szCs w:val="28"/>
        </w:rPr>
        <w:t xml:space="preserve"> </w:t>
      </w:r>
      <w:r w:rsidR="00E81E99" w:rsidRPr="00E81E99">
        <w:rPr>
          <w:sz w:val="28"/>
          <w:szCs w:val="28"/>
        </w:rPr>
        <w:t>Със свое определение от 27.03.2018 г. п</w:t>
      </w:r>
      <w:r w:rsidR="00C81BDB">
        <w:rPr>
          <w:sz w:val="28"/>
          <w:szCs w:val="28"/>
        </w:rPr>
        <w:t>о гр. д. № 1167/2017 г. съставът</w:t>
      </w:r>
      <w:r w:rsidR="00E81E99" w:rsidRPr="00E81E99">
        <w:rPr>
          <w:sz w:val="28"/>
          <w:szCs w:val="28"/>
        </w:rPr>
        <w:t xml:space="preserve"> на ВКС, гражданска</w:t>
      </w:r>
      <w:r w:rsidR="00B73710">
        <w:rPr>
          <w:sz w:val="28"/>
          <w:szCs w:val="28"/>
        </w:rPr>
        <w:t xml:space="preserve"> колегия, четвърто отделение, е</w:t>
      </w:r>
      <w:r w:rsidR="00E81E99" w:rsidRPr="00E81E99">
        <w:rPr>
          <w:sz w:val="28"/>
          <w:szCs w:val="28"/>
        </w:rPr>
        <w:t xml:space="preserve"> установил несъответствие между разпор</w:t>
      </w:r>
      <w:r w:rsidR="0031790B">
        <w:rPr>
          <w:sz w:val="28"/>
          <w:szCs w:val="28"/>
        </w:rPr>
        <w:t>едбата на чл. 225, ал. 3 ЗСВ, с</w:t>
      </w:r>
      <w:r w:rsidR="00E81E99" w:rsidRPr="00E81E99">
        <w:rPr>
          <w:sz w:val="28"/>
          <w:szCs w:val="28"/>
        </w:rPr>
        <w:t xml:space="preserve"> чл. 4, ал. 1, чл. 4</w:t>
      </w:r>
      <w:r w:rsidR="0031790B">
        <w:rPr>
          <w:sz w:val="28"/>
          <w:szCs w:val="28"/>
        </w:rPr>
        <w:t>8,</w:t>
      </w:r>
      <w:r w:rsidR="00E81E99" w:rsidRPr="00E81E99">
        <w:rPr>
          <w:sz w:val="28"/>
          <w:szCs w:val="28"/>
        </w:rPr>
        <w:t xml:space="preserve"> ал.</w:t>
      </w:r>
      <w:r w:rsidR="0031790B">
        <w:rPr>
          <w:sz w:val="28"/>
          <w:szCs w:val="28"/>
        </w:rPr>
        <w:t xml:space="preserve"> 1 и 5, вр. с чл. 31, ал. 3 и 4</w:t>
      </w:r>
      <w:r w:rsidR="00E81E99" w:rsidRPr="00E81E99">
        <w:rPr>
          <w:sz w:val="28"/>
          <w:szCs w:val="28"/>
        </w:rPr>
        <w:t xml:space="preserve"> от Конституцията, и е постановил спира</w:t>
      </w:r>
      <w:r w:rsidR="00B73710">
        <w:rPr>
          <w:sz w:val="28"/>
          <w:szCs w:val="28"/>
        </w:rPr>
        <w:t>не на касационното производство.</w:t>
      </w:r>
      <w:r w:rsidR="004B7A74">
        <w:rPr>
          <w:sz w:val="28"/>
          <w:szCs w:val="28"/>
        </w:rPr>
        <w:t xml:space="preserve"> Въ</w:t>
      </w:r>
      <w:r w:rsidR="00B73710">
        <w:rPr>
          <w:sz w:val="28"/>
          <w:szCs w:val="28"/>
        </w:rPr>
        <w:t xml:space="preserve">з основа на това </w:t>
      </w:r>
      <w:r w:rsidR="004B7A74">
        <w:rPr>
          <w:sz w:val="28"/>
          <w:szCs w:val="28"/>
        </w:rPr>
        <w:t>подателят отправя</w:t>
      </w:r>
      <w:r w:rsidR="00B73710">
        <w:rPr>
          <w:sz w:val="28"/>
          <w:szCs w:val="28"/>
        </w:rPr>
        <w:t xml:space="preserve"> искане до Конституционния съд на Република България</w:t>
      </w:r>
      <w:r w:rsidR="004B7A74">
        <w:rPr>
          <w:sz w:val="28"/>
          <w:szCs w:val="28"/>
        </w:rPr>
        <w:t xml:space="preserve"> за обявяване на противоконституционност на разпоредбата на чл. 225, ал. 3 от ЗСВ</w:t>
      </w:r>
      <w:r w:rsidR="00B73710">
        <w:rPr>
          <w:sz w:val="28"/>
          <w:szCs w:val="28"/>
        </w:rPr>
        <w:t xml:space="preserve">. </w:t>
      </w:r>
    </w:p>
    <w:p w14:paraId="1AC15A09" w14:textId="5CFE785F" w:rsidR="00B4047D" w:rsidRPr="008B5B08" w:rsidRDefault="00A222FE" w:rsidP="00FF48EF">
      <w:pPr>
        <w:spacing w:line="276" w:lineRule="auto"/>
        <w:ind w:firstLine="709"/>
        <w:jc w:val="both"/>
        <w:rPr>
          <w:sz w:val="28"/>
          <w:szCs w:val="28"/>
        </w:rPr>
      </w:pPr>
      <w:r w:rsidRPr="00344E31">
        <w:rPr>
          <w:sz w:val="28"/>
          <w:szCs w:val="28"/>
        </w:rPr>
        <w:lastRenderedPageBreak/>
        <w:t>С о</w:t>
      </w:r>
      <w:r w:rsidR="008135E4" w:rsidRPr="008B5B08">
        <w:rPr>
          <w:sz w:val="28"/>
          <w:szCs w:val="28"/>
        </w:rPr>
        <w:t>пределение о</w:t>
      </w:r>
      <w:r w:rsidR="004E4AED">
        <w:rPr>
          <w:sz w:val="28"/>
          <w:szCs w:val="28"/>
        </w:rPr>
        <w:t>т 03.07</w:t>
      </w:r>
      <w:r w:rsidR="00F846E5">
        <w:rPr>
          <w:sz w:val="28"/>
          <w:szCs w:val="28"/>
        </w:rPr>
        <w:t>.2018</w:t>
      </w:r>
      <w:r w:rsidR="008135E4" w:rsidRPr="008B5B08">
        <w:rPr>
          <w:sz w:val="28"/>
          <w:szCs w:val="28"/>
        </w:rPr>
        <w:t xml:space="preserve">г. Конституционният съд е </w:t>
      </w:r>
      <w:r w:rsidR="00F91623">
        <w:rPr>
          <w:sz w:val="28"/>
          <w:szCs w:val="28"/>
        </w:rPr>
        <w:t xml:space="preserve">допуснал </w:t>
      </w:r>
      <w:r w:rsidR="00F91623" w:rsidRPr="00F91623">
        <w:rPr>
          <w:sz w:val="28"/>
          <w:szCs w:val="28"/>
        </w:rPr>
        <w:t xml:space="preserve">до разглеждане по същество </w:t>
      </w:r>
      <w:r w:rsidR="00F91623">
        <w:rPr>
          <w:sz w:val="28"/>
          <w:szCs w:val="28"/>
        </w:rPr>
        <w:t xml:space="preserve">искането и е </w:t>
      </w:r>
      <w:r w:rsidR="008135E4" w:rsidRPr="008B5B08">
        <w:rPr>
          <w:sz w:val="28"/>
          <w:szCs w:val="28"/>
        </w:rPr>
        <w:t>конституирал ка</w:t>
      </w:r>
      <w:r w:rsidR="002834D0" w:rsidRPr="008B5B08">
        <w:rPr>
          <w:sz w:val="28"/>
          <w:szCs w:val="28"/>
        </w:rPr>
        <w:t>то заинтересована страна Висшия</w:t>
      </w:r>
      <w:r w:rsidR="008135E4" w:rsidRPr="008B5B08">
        <w:rPr>
          <w:sz w:val="28"/>
          <w:szCs w:val="28"/>
        </w:rPr>
        <w:t xml:space="preserve"> адвокатски съвет, въз основа на което </w:t>
      </w:r>
      <w:r w:rsidR="0010178B" w:rsidRPr="008B5B08">
        <w:rPr>
          <w:sz w:val="28"/>
          <w:szCs w:val="28"/>
        </w:rPr>
        <w:t>изразяваме</w:t>
      </w:r>
      <w:r w:rsidR="008135E4" w:rsidRPr="008B5B08">
        <w:rPr>
          <w:sz w:val="28"/>
          <w:szCs w:val="28"/>
        </w:rPr>
        <w:t xml:space="preserve"> становище по </w:t>
      </w:r>
      <w:r w:rsidR="007B6D81" w:rsidRPr="008B5B08">
        <w:rPr>
          <w:sz w:val="28"/>
          <w:szCs w:val="28"/>
        </w:rPr>
        <w:t>искането на</w:t>
      </w:r>
      <w:r w:rsidR="004E4AED">
        <w:rPr>
          <w:sz w:val="28"/>
          <w:szCs w:val="28"/>
        </w:rPr>
        <w:t xml:space="preserve"> състав</w:t>
      </w:r>
      <w:r w:rsidR="00EF461D">
        <w:rPr>
          <w:sz w:val="28"/>
          <w:szCs w:val="28"/>
        </w:rPr>
        <w:t>а</w:t>
      </w:r>
      <w:r w:rsidR="004E4AED">
        <w:rPr>
          <w:sz w:val="28"/>
          <w:szCs w:val="28"/>
        </w:rPr>
        <w:t xml:space="preserve"> на</w:t>
      </w:r>
      <w:r w:rsidR="007B6D81" w:rsidRPr="008B5B08">
        <w:rPr>
          <w:sz w:val="28"/>
          <w:szCs w:val="28"/>
        </w:rPr>
        <w:t xml:space="preserve"> </w:t>
      </w:r>
      <w:r w:rsidR="00C81BDB">
        <w:rPr>
          <w:sz w:val="28"/>
          <w:szCs w:val="28"/>
        </w:rPr>
        <w:t>ВКС</w:t>
      </w:r>
      <w:r w:rsidR="007B6D81" w:rsidRPr="008B5B08">
        <w:rPr>
          <w:sz w:val="28"/>
          <w:szCs w:val="28"/>
        </w:rPr>
        <w:t xml:space="preserve"> за </w:t>
      </w:r>
      <w:r w:rsidR="00B661D6" w:rsidRPr="008B5B08">
        <w:rPr>
          <w:sz w:val="28"/>
          <w:szCs w:val="28"/>
        </w:rPr>
        <w:t xml:space="preserve">обявяване на противоконституционност </w:t>
      </w:r>
      <w:r w:rsidR="00E07EA1">
        <w:rPr>
          <w:sz w:val="28"/>
          <w:szCs w:val="28"/>
        </w:rPr>
        <w:t xml:space="preserve">на </w:t>
      </w:r>
      <w:r w:rsidR="004E4AED">
        <w:rPr>
          <w:sz w:val="28"/>
          <w:szCs w:val="28"/>
        </w:rPr>
        <w:t>чл. 225, ал. 3</w:t>
      </w:r>
      <w:r w:rsidR="00E07EA1" w:rsidRPr="00E07EA1">
        <w:rPr>
          <w:sz w:val="28"/>
          <w:szCs w:val="28"/>
        </w:rPr>
        <w:t xml:space="preserve"> от </w:t>
      </w:r>
      <w:r w:rsidR="004E4AED">
        <w:rPr>
          <w:sz w:val="28"/>
          <w:szCs w:val="28"/>
        </w:rPr>
        <w:t>ЗСВ</w:t>
      </w:r>
      <w:r w:rsidR="00E07EA1" w:rsidRPr="00E07EA1">
        <w:rPr>
          <w:sz w:val="28"/>
          <w:szCs w:val="28"/>
        </w:rPr>
        <w:t xml:space="preserve"> (обн., ДВ, бр. 64 от 7.08.2007 г., посл. изм. </w:t>
      </w:r>
      <w:r w:rsidR="005354B4">
        <w:rPr>
          <w:sz w:val="28"/>
          <w:szCs w:val="28"/>
        </w:rPr>
        <w:t>и доп. бр. 49</w:t>
      </w:r>
      <w:r w:rsidR="00E07EA1" w:rsidRPr="00E07EA1">
        <w:rPr>
          <w:sz w:val="28"/>
          <w:szCs w:val="28"/>
        </w:rPr>
        <w:t xml:space="preserve"> от </w:t>
      </w:r>
      <w:r w:rsidR="005354B4" w:rsidRPr="00E81E99">
        <w:rPr>
          <w:sz w:val="28"/>
          <w:szCs w:val="28"/>
        </w:rPr>
        <w:t>12.06.2018</w:t>
      </w:r>
      <w:r w:rsidR="00E07EA1" w:rsidRPr="00E07EA1">
        <w:rPr>
          <w:sz w:val="28"/>
          <w:szCs w:val="28"/>
        </w:rPr>
        <w:t>)</w:t>
      </w:r>
      <w:r w:rsidR="00E07EA1">
        <w:rPr>
          <w:sz w:val="28"/>
          <w:szCs w:val="28"/>
        </w:rPr>
        <w:t>.</w:t>
      </w:r>
    </w:p>
    <w:p w14:paraId="6B7E805E" w14:textId="22E5DD42" w:rsidR="00414E5C" w:rsidRDefault="00D72E5A" w:rsidP="0053737E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Висшият адвокатски съвет </w:t>
      </w:r>
      <w:r w:rsidRPr="007002A5">
        <w:rPr>
          <w:sz w:val="28"/>
          <w:szCs w:val="28"/>
        </w:rPr>
        <w:t>смята за основателно искането</w:t>
      </w:r>
      <w:r w:rsidRPr="008B5B08">
        <w:rPr>
          <w:sz w:val="28"/>
          <w:szCs w:val="28"/>
        </w:rPr>
        <w:t xml:space="preserve"> на </w:t>
      </w:r>
      <w:r w:rsidR="00C81BDB">
        <w:rPr>
          <w:sz w:val="28"/>
          <w:szCs w:val="28"/>
        </w:rPr>
        <w:t>подателя</w:t>
      </w:r>
      <w:r w:rsidRPr="008B5B08">
        <w:rPr>
          <w:sz w:val="28"/>
          <w:szCs w:val="28"/>
        </w:rPr>
        <w:t xml:space="preserve"> </w:t>
      </w:r>
      <w:r w:rsidR="00993502">
        <w:rPr>
          <w:sz w:val="28"/>
          <w:szCs w:val="28"/>
        </w:rPr>
        <w:t xml:space="preserve">за обявяване за </w:t>
      </w:r>
      <w:r w:rsidR="00CD1EFB">
        <w:rPr>
          <w:sz w:val="28"/>
          <w:szCs w:val="28"/>
        </w:rPr>
        <w:t>противоконституционна разпоредбата</w:t>
      </w:r>
      <w:r w:rsidR="00352427">
        <w:rPr>
          <w:sz w:val="28"/>
          <w:szCs w:val="28"/>
        </w:rPr>
        <w:t xml:space="preserve"> </w:t>
      </w:r>
      <w:r w:rsidRPr="008B5B08">
        <w:rPr>
          <w:sz w:val="28"/>
          <w:szCs w:val="28"/>
        </w:rPr>
        <w:t xml:space="preserve">на </w:t>
      </w:r>
      <w:r w:rsidR="005354B4" w:rsidRPr="00EF461D">
        <w:rPr>
          <w:b/>
          <w:sz w:val="28"/>
          <w:szCs w:val="28"/>
        </w:rPr>
        <w:t>чл. 225, ал</w:t>
      </w:r>
      <w:r w:rsidR="005354B4">
        <w:rPr>
          <w:b/>
          <w:sz w:val="28"/>
          <w:szCs w:val="28"/>
        </w:rPr>
        <w:t>. 3</w:t>
      </w:r>
      <w:r w:rsidR="00E07EA1" w:rsidRPr="00E07EA1">
        <w:rPr>
          <w:sz w:val="28"/>
          <w:szCs w:val="28"/>
        </w:rPr>
        <w:t xml:space="preserve"> от </w:t>
      </w:r>
      <w:r w:rsidR="003F5F8C">
        <w:rPr>
          <w:sz w:val="28"/>
          <w:szCs w:val="28"/>
        </w:rPr>
        <w:t>ЗСВ</w:t>
      </w:r>
      <w:r w:rsidR="002553CE" w:rsidRPr="008B5B08">
        <w:rPr>
          <w:sz w:val="28"/>
          <w:szCs w:val="28"/>
        </w:rPr>
        <w:t xml:space="preserve"> </w:t>
      </w:r>
      <w:r w:rsidR="00E07EA1" w:rsidRPr="00E07EA1">
        <w:rPr>
          <w:sz w:val="28"/>
          <w:szCs w:val="28"/>
        </w:rPr>
        <w:t>(</w:t>
      </w:r>
      <w:r w:rsidR="005354B4" w:rsidRPr="00E07EA1">
        <w:rPr>
          <w:sz w:val="28"/>
          <w:szCs w:val="28"/>
        </w:rPr>
        <w:t xml:space="preserve">обн., ДВ, бр. 64 от 7.08.2007 г., посл. изм. </w:t>
      </w:r>
      <w:r w:rsidR="005354B4">
        <w:rPr>
          <w:sz w:val="28"/>
          <w:szCs w:val="28"/>
        </w:rPr>
        <w:t>и доп. бр. 49</w:t>
      </w:r>
      <w:r w:rsidR="005354B4" w:rsidRPr="00E07EA1">
        <w:rPr>
          <w:sz w:val="28"/>
          <w:szCs w:val="28"/>
        </w:rPr>
        <w:t xml:space="preserve"> от </w:t>
      </w:r>
      <w:r w:rsidR="005354B4" w:rsidRPr="00E81E99">
        <w:rPr>
          <w:sz w:val="28"/>
          <w:szCs w:val="28"/>
        </w:rPr>
        <w:t>12.06.2018</w:t>
      </w:r>
      <w:r w:rsidR="005354B4" w:rsidRPr="00E07EA1">
        <w:rPr>
          <w:sz w:val="28"/>
          <w:szCs w:val="28"/>
        </w:rPr>
        <w:t>)</w:t>
      </w:r>
      <w:r w:rsidR="005354B4">
        <w:rPr>
          <w:sz w:val="28"/>
          <w:szCs w:val="28"/>
        </w:rPr>
        <w:t xml:space="preserve"> </w:t>
      </w:r>
      <w:r w:rsidR="00481954">
        <w:rPr>
          <w:sz w:val="28"/>
          <w:szCs w:val="28"/>
        </w:rPr>
        <w:t>поради противоречие с ч</w:t>
      </w:r>
      <w:r w:rsidR="00B61CAE">
        <w:rPr>
          <w:sz w:val="28"/>
          <w:szCs w:val="28"/>
        </w:rPr>
        <w:t>л. 4</w:t>
      </w:r>
      <w:r w:rsidR="00481954">
        <w:rPr>
          <w:sz w:val="28"/>
          <w:szCs w:val="28"/>
        </w:rPr>
        <w:t xml:space="preserve">, ал. 1 </w:t>
      </w:r>
      <w:r w:rsidR="00173938">
        <w:rPr>
          <w:sz w:val="28"/>
          <w:szCs w:val="28"/>
        </w:rPr>
        <w:t>(</w:t>
      </w:r>
      <w:r w:rsidR="00173938" w:rsidRPr="00173938">
        <w:rPr>
          <w:b/>
          <w:sz w:val="28"/>
          <w:szCs w:val="28"/>
        </w:rPr>
        <w:t>принципа за правовата държава</w:t>
      </w:r>
      <w:r w:rsidR="0053737E">
        <w:rPr>
          <w:sz w:val="28"/>
          <w:szCs w:val="28"/>
        </w:rPr>
        <w:t xml:space="preserve">), </w:t>
      </w:r>
      <w:r w:rsidR="00481954" w:rsidRPr="003F5F8C">
        <w:rPr>
          <w:b/>
          <w:sz w:val="28"/>
          <w:szCs w:val="28"/>
        </w:rPr>
        <w:t xml:space="preserve">чл. </w:t>
      </w:r>
      <w:r w:rsidR="00E66F66" w:rsidRPr="003F5F8C">
        <w:rPr>
          <w:b/>
          <w:sz w:val="28"/>
          <w:szCs w:val="28"/>
        </w:rPr>
        <w:t xml:space="preserve">31, ал. 3 </w:t>
      </w:r>
      <w:r w:rsidR="00E66F66">
        <w:rPr>
          <w:sz w:val="28"/>
          <w:szCs w:val="28"/>
        </w:rPr>
        <w:t>(</w:t>
      </w:r>
      <w:r w:rsidR="00E66F66" w:rsidRPr="00473B84">
        <w:rPr>
          <w:b/>
          <w:sz w:val="28"/>
          <w:szCs w:val="28"/>
        </w:rPr>
        <w:t>презумпцията за невиновност</w:t>
      </w:r>
      <w:r w:rsidR="00E66F66">
        <w:rPr>
          <w:sz w:val="28"/>
          <w:szCs w:val="28"/>
        </w:rPr>
        <w:t>) и</w:t>
      </w:r>
      <w:r w:rsidR="00173938">
        <w:rPr>
          <w:sz w:val="28"/>
          <w:szCs w:val="28"/>
        </w:rPr>
        <w:t xml:space="preserve"> </w:t>
      </w:r>
      <w:r w:rsidR="00173938" w:rsidRPr="003F5F8C">
        <w:rPr>
          <w:b/>
          <w:sz w:val="28"/>
          <w:szCs w:val="28"/>
        </w:rPr>
        <w:t>чл. 31, ал. 4</w:t>
      </w:r>
      <w:r w:rsidR="00473B84">
        <w:rPr>
          <w:sz w:val="28"/>
          <w:szCs w:val="28"/>
        </w:rPr>
        <w:t xml:space="preserve"> </w:t>
      </w:r>
      <w:r w:rsidR="00A60EAA">
        <w:rPr>
          <w:sz w:val="28"/>
          <w:szCs w:val="28"/>
        </w:rPr>
        <w:t>от Конституцията на Република България</w:t>
      </w:r>
      <w:r w:rsidR="005728A3" w:rsidRPr="008B5B08">
        <w:rPr>
          <w:sz w:val="28"/>
          <w:szCs w:val="28"/>
        </w:rPr>
        <w:t>. Във връзка с това излагаме следните аргументи:</w:t>
      </w:r>
    </w:p>
    <w:p w14:paraId="459A698A" w14:textId="77777777" w:rsidR="0034654B" w:rsidRDefault="0034654B" w:rsidP="0053737E">
      <w:pPr>
        <w:spacing w:line="276" w:lineRule="auto"/>
        <w:ind w:firstLine="709"/>
        <w:jc w:val="both"/>
        <w:rPr>
          <w:sz w:val="28"/>
          <w:szCs w:val="28"/>
        </w:rPr>
      </w:pPr>
    </w:p>
    <w:p w14:paraId="53227C78" w14:textId="4FCFBC55" w:rsidR="002A38C1" w:rsidRDefault="002A38C1" w:rsidP="0034654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t>I</w:t>
      </w:r>
      <w:r w:rsidRPr="002A38C1">
        <w:rPr>
          <w:b/>
          <w:sz w:val="28"/>
          <w:szCs w:val="28"/>
          <w:lang w:val="ru-RU"/>
        </w:rPr>
        <w:t xml:space="preserve">. </w:t>
      </w:r>
      <w:r w:rsidRPr="004F1541">
        <w:rPr>
          <w:b/>
          <w:sz w:val="28"/>
          <w:szCs w:val="28"/>
        </w:rPr>
        <w:t>Противоречие с</w:t>
      </w:r>
      <w:r>
        <w:rPr>
          <w:sz w:val="28"/>
          <w:szCs w:val="28"/>
        </w:rPr>
        <w:t xml:space="preserve"> </w:t>
      </w:r>
      <w:r w:rsidRPr="004F1541">
        <w:rPr>
          <w:b/>
          <w:sz w:val="28"/>
          <w:szCs w:val="28"/>
        </w:rPr>
        <w:t>принципа за</w:t>
      </w:r>
      <w:r>
        <w:rPr>
          <w:b/>
          <w:sz w:val="28"/>
          <w:szCs w:val="28"/>
        </w:rPr>
        <w:t xml:space="preserve"> правовата държава</w:t>
      </w:r>
    </w:p>
    <w:p w14:paraId="6F78E39D" w14:textId="77777777" w:rsidR="0034654B" w:rsidRPr="002A38C1" w:rsidRDefault="0034654B" w:rsidP="0034654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3A7D0A40" w14:textId="565E5068" w:rsidR="00CC061A" w:rsidRDefault="00EB7CA3" w:rsidP="00F912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Съобразно закрепения в</w:t>
      </w:r>
      <w:r w:rsidR="00674D63">
        <w:rPr>
          <w:sz w:val="28"/>
          <w:szCs w:val="28"/>
        </w:rPr>
        <w:t xml:space="preserve"> чл. 8 от </w:t>
      </w:r>
      <w:r>
        <w:rPr>
          <w:sz w:val="28"/>
          <w:szCs w:val="28"/>
        </w:rPr>
        <w:t xml:space="preserve">Конституцията </w:t>
      </w:r>
      <w:r w:rsidR="00E67E00">
        <w:rPr>
          <w:sz w:val="28"/>
          <w:szCs w:val="28"/>
        </w:rPr>
        <w:t>на Република България от 1991 г.</w:t>
      </w:r>
      <w:r>
        <w:rPr>
          <w:sz w:val="28"/>
          <w:szCs w:val="28"/>
        </w:rPr>
        <w:t xml:space="preserve"> </w:t>
      </w:r>
      <w:r w:rsidRPr="00674D63">
        <w:rPr>
          <w:b/>
          <w:sz w:val="28"/>
          <w:szCs w:val="28"/>
        </w:rPr>
        <w:t>принцип за разделение на властите</w:t>
      </w:r>
      <w:r w:rsidR="00674D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съдебната власт</w:t>
      </w:r>
      <w:r w:rsidR="00CC061A">
        <w:rPr>
          <w:sz w:val="28"/>
          <w:szCs w:val="28"/>
        </w:rPr>
        <w:t xml:space="preserve"> е една от трите основни влас</w:t>
      </w:r>
      <w:r w:rsidR="0034654B">
        <w:rPr>
          <w:sz w:val="28"/>
          <w:szCs w:val="28"/>
        </w:rPr>
        <w:t>ти, като х</w:t>
      </w:r>
      <w:r w:rsidR="00CC061A">
        <w:rPr>
          <w:sz w:val="28"/>
          <w:szCs w:val="28"/>
        </w:rPr>
        <w:t>арактерно за тази власт</w:t>
      </w:r>
      <w:r w:rsidR="0034654B">
        <w:rPr>
          <w:sz w:val="28"/>
          <w:szCs w:val="28"/>
        </w:rPr>
        <w:t xml:space="preserve"> е, че съгласно</w:t>
      </w:r>
      <w:r>
        <w:rPr>
          <w:sz w:val="28"/>
          <w:szCs w:val="28"/>
        </w:rPr>
        <w:t xml:space="preserve"> </w:t>
      </w:r>
      <w:r w:rsidRPr="00EB7CA3">
        <w:rPr>
          <w:sz w:val="28"/>
          <w:szCs w:val="28"/>
        </w:rPr>
        <w:t>чл. 117, ал. 2</w:t>
      </w:r>
      <w:r w:rsidR="000E04C5">
        <w:rPr>
          <w:sz w:val="28"/>
          <w:szCs w:val="28"/>
          <w:lang w:val="ru-RU"/>
        </w:rPr>
        <w:t xml:space="preserve"> </w:t>
      </w:r>
      <w:r w:rsidRPr="00EB7CA3">
        <w:rPr>
          <w:sz w:val="28"/>
          <w:szCs w:val="28"/>
        </w:rPr>
        <w:t xml:space="preserve">от </w:t>
      </w:r>
      <w:r w:rsidR="00674D63">
        <w:rPr>
          <w:sz w:val="28"/>
          <w:szCs w:val="28"/>
        </w:rPr>
        <w:t>Основния ни закон</w:t>
      </w:r>
      <w:r w:rsidRPr="00EB7CA3">
        <w:rPr>
          <w:sz w:val="28"/>
          <w:szCs w:val="28"/>
        </w:rPr>
        <w:t xml:space="preserve"> </w:t>
      </w:r>
      <w:r w:rsidR="00CC061A">
        <w:rPr>
          <w:sz w:val="28"/>
          <w:szCs w:val="28"/>
        </w:rPr>
        <w:t>тя</w:t>
      </w:r>
      <w:r w:rsidRPr="00EB7CA3">
        <w:rPr>
          <w:sz w:val="28"/>
          <w:szCs w:val="28"/>
        </w:rPr>
        <w:t xml:space="preserve"> е независима</w:t>
      </w:r>
      <w:r w:rsidR="008F430D">
        <w:rPr>
          <w:sz w:val="28"/>
          <w:szCs w:val="28"/>
        </w:rPr>
        <w:t>, а</w:t>
      </w:r>
      <w:r w:rsidRPr="00EB7CA3">
        <w:rPr>
          <w:sz w:val="28"/>
          <w:szCs w:val="28"/>
        </w:rPr>
        <w:t xml:space="preserve"> </w:t>
      </w:r>
      <w:r w:rsidR="008F430D">
        <w:rPr>
          <w:sz w:val="28"/>
          <w:szCs w:val="28"/>
        </w:rPr>
        <w:t>с</w:t>
      </w:r>
      <w:r w:rsidR="009E1DD0">
        <w:rPr>
          <w:sz w:val="28"/>
          <w:szCs w:val="28"/>
        </w:rPr>
        <w:t>ъобразно чл. 132, ал. 1 от Конституцията</w:t>
      </w:r>
      <w:r w:rsidR="009E1DD0" w:rsidRPr="009E1DD0">
        <w:rPr>
          <w:sz w:val="28"/>
          <w:szCs w:val="28"/>
        </w:rPr>
        <w:t xml:space="preserve"> </w:t>
      </w:r>
      <w:r w:rsidR="009E1DD0">
        <w:rPr>
          <w:sz w:val="28"/>
          <w:szCs w:val="28"/>
        </w:rPr>
        <w:t>„</w:t>
      </w:r>
      <w:r w:rsidR="009E1DD0" w:rsidRPr="009E1DD0">
        <w:rPr>
          <w:i/>
          <w:sz w:val="28"/>
          <w:szCs w:val="28"/>
        </w:rPr>
        <w:t xml:space="preserve">При осъществяване на съдебната власт съдиите, прокурорите и следователите </w:t>
      </w:r>
      <w:r w:rsidR="009E1DD0" w:rsidRPr="008F430D">
        <w:rPr>
          <w:b/>
          <w:i/>
          <w:sz w:val="28"/>
          <w:szCs w:val="28"/>
        </w:rPr>
        <w:t>не носят</w:t>
      </w:r>
      <w:r w:rsidR="009E1DD0" w:rsidRPr="009E1DD0">
        <w:rPr>
          <w:i/>
          <w:sz w:val="28"/>
          <w:szCs w:val="28"/>
        </w:rPr>
        <w:t xml:space="preserve"> наказателна и гражданска отговорност за техните служебни действия и за постановените от тях актове, </w:t>
      </w:r>
      <w:r w:rsidR="009E1DD0" w:rsidRPr="00A117F9">
        <w:rPr>
          <w:b/>
          <w:i/>
          <w:sz w:val="28"/>
          <w:szCs w:val="28"/>
        </w:rPr>
        <w:t>освен</w:t>
      </w:r>
      <w:r w:rsidR="009E1DD0" w:rsidRPr="009E1DD0">
        <w:rPr>
          <w:i/>
          <w:sz w:val="28"/>
          <w:szCs w:val="28"/>
        </w:rPr>
        <w:t xml:space="preserve"> ако извършеното е умишлено престъпление от общ характер</w:t>
      </w:r>
      <w:r w:rsidR="009E1DD0">
        <w:rPr>
          <w:sz w:val="28"/>
          <w:szCs w:val="28"/>
        </w:rPr>
        <w:t>“.</w:t>
      </w:r>
    </w:p>
    <w:p w14:paraId="2A33D4FA" w14:textId="518AE057" w:rsidR="005D7EC7" w:rsidRPr="003654D7" w:rsidRDefault="00F91255" w:rsidP="00F91255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Конституционният съд на Република България е </w:t>
      </w:r>
      <w:r w:rsidR="008F430D">
        <w:rPr>
          <w:sz w:val="28"/>
          <w:szCs w:val="28"/>
        </w:rPr>
        <w:t xml:space="preserve">имал </w:t>
      </w:r>
      <w:r w:rsidR="00D21EC4">
        <w:rPr>
          <w:sz w:val="28"/>
          <w:szCs w:val="28"/>
        </w:rPr>
        <w:t xml:space="preserve">вече </w:t>
      </w:r>
      <w:r w:rsidR="008F430D">
        <w:rPr>
          <w:sz w:val="28"/>
          <w:szCs w:val="28"/>
        </w:rPr>
        <w:t xml:space="preserve">възможност </w:t>
      </w:r>
      <w:r w:rsidR="00383AB9">
        <w:rPr>
          <w:sz w:val="28"/>
          <w:szCs w:val="28"/>
        </w:rPr>
        <w:t>да изясни</w:t>
      </w:r>
      <w:r>
        <w:rPr>
          <w:sz w:val="28"/>
          <w:szCs w:val="28"/>
        </w:rPr>
        <w:t xml:space="preserve"> статуса на магистратите. </w:t>
      </w:r>
      <w:r w:rsidR="000E04C5">
        <w:rPr>
          <w:sz w:val="28"/>
          <w:szCs w:val="28"/>
          <w:lang w:val="ru-RU"/>
        </w:rPr>
        <w:t>В мотивите</w:t>
      </w:r>
      <w:r w:rsidR="006A55EE">
        <w:rPr>
          <w:sz w:val="28"/>
          <w:szCs w:val="28"/>
          <w:lang w:val="ru-RU"/>
        </w:rPr>
        <w:t xml:space="preserve"> към Решение № 1 от 2017 г. </w:t>
      </w:r>
      <w:r w:rsidR="00FD625E">
        <w:rPr>
          <w:sz w:val="28"/>
          <w:szCs w:val="28"/>
          <w:lang w:val="ru-RU"/>
        </w:rPr>
        <w:t xml:space="preserve">конституционната ни юрисдикция </w:t>
      </w:r>
      <w:r>
        <w:rPr>
          <w:sz w:val="28"/>
          <w:szCs w:val="28"/>
          <w:lang w:val="ru-RU"/>
        </w:rPr>
        <w:t>посочва, че</w:t>
      </w:r>
      <w:r w:rsidR="00CB356E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„</w:t>
      </w:r>
      <w:r w:rsidR="006A55EE" w:rsidRPr="003654D7">
        <w:rPr>
          <w:i/>
          <w:sz w:val="28"/>
          <w:szCs w:val="28"/>
          <w:lang w:val="ru-RU"/>
        </w:rPr>
        <w:t>с</w:t>
      </w:r>
      <w:r w:rsidR="005D7EC7" w:rsidRPr="003654D7">
        <w:rPr>
          <w:i/>
          <w:sz w:val="28"/>
          <w:szCs w:val="28"/>
          <w:lang w:val="ru-RU"/>
        </w:rPr>
        <w:t xml:space="preserve">ъдиите, прокурорите и следователите имат </w:t>
      </w:r>
      <w:r w:rsidR="005D7EC7" w:rsidRPr="003654D7">
        <w:rPr>
          <w:b/>
          <w:i/>
          <w:sz w:val="28"/>
          <w:szCs w:val="28"/>
          <w:lang w:val="ru-RU"/>
        </w:rPr>
        <w:t>особен служебен статус</w:t>
      </w:r>
      <w:r w:rsidR="005D7EC7" w:rsidRPr="003654D7">
        <w:rPr>
          <w:i/>
          <w:sz w:val="28"/>
          <w:szCs w:val="28"/>
          <w:lang w:val="ru-RU"/>
        </w:rPr>
        <w:t xml:space="preserve">, поради което e </w:t>
      </w:r>
      <w:r w:rsidR="005D7EC7" w:rsidRPr="0073639A">
        <w:rPr>
          <w:b/>
          <w:i/>
          <w:sz w:val="28"/>
          <w:szCs w:val="28"/>
          <w:lang w:val="ru-RU"/>
        </w:rPr>
        <w:t>специфичен и характерът на правоотношенията им</w:t>
      </w:r>
      <w:r w:rsidR="005D7EC7" w:rsidRPr="003654D7">
        <w:rPr>
          <w:i/>
          <w:sz w:val="28"/>
          <w:szCs w:val="28"/>
          <w:lang w:val="ru-RU"/>
        </w:rPr>
        <w:t>, по силата на к</w:t>
      </w:r>
      <w:r w:rsidR="006A55EE" w:rsidRPr="003654D7">
        <w:rPr>
          <w:i/>
          <w:sz w:val="28"/>
          <w:szCs w:val="28"/>
          <w:lang w:val="ru-RU"/>
        </w:rPr>
        <w:t xml:space="preserve">оито те изпълняват функциите си. </w:t>
      </w:r>
      <w:r w:rsidR="005D7EC7" w:rsidRPr="003654D7">
        <w:rPr>
          <w:i/>
          <w:sz w:val="28"/>
          <w:szCs w:val="28"/>
          <w:lang w:val="ru-RU"/>
        </w:rPr>
        <w:t xml:space="preserve">По този въпрос теорията и съдебната практика приемат, че правоотношенията </w:t>
      </w:r>
      <w:r w:rsidR="005D7EC7" w:rsidRPr="003654D7">
        <w:rPr>
          <w:b/>
          <w:i/>
          <w:sz w:val="28"/>
          <w:szCs w:val="28"/>
          <w:lang w:val="ru-RU"/>
        </w:rPr>
        <w:t>не са трудови по смисъла на Кодекса на труда</w:t>
      </w:r>
      <w:r w:rsidR="005D7EC7" w:rsidRPr="003654D7">
        <w:rPr>
          <w:i/>
          <w:sz w:val="28"/>
          <w:szCs w:val="28"/>
          <w:lang w:val="ru-RU"/>
        </w:rPr>
        <w:t>, защото създаването и прекратяването им се извършва с индивидуални административни актове на съответната колегия на Висшия съдебен съвет, за разлика от трудовите правоотношения, които са такива на частното право и съществуват между равнопоставени страни</w:t>
      </w:r>
      <w:r w:rsidR="00DD0833">
        <w:rPr>
          <w:sz w:val="28"/>
          <w:szCs w:val="28"/>
        </w:rPr>
        <w:t>“</w:t>
      </w:r>
      <w:r w:rsidR="005D7EC7" w:rsidRPr="003654D7">
        <w:rPr>
          <w:i/>
          <w:sz w:val="28"/>
          <w:szCs w:val="28"/>
          <w:lang w:val="ru-RU"/>
        </w:rPr>
        <w:t xml:space="preserve">. </w:t>
      </w:r>
    </w:p>
    <w:p w14:paraId="0FEB4CF4" w14:textId="5D2F7E93" w:rsidR="00F802CC" w:rsidRDefault="00FD625E" w:rsidP="00F802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Конституционният съд в</w:t>
      </w:r>
      <w:r>
        <w:rPr>
          <w:sz w:val="28"/>
          <w:szCs w:val="28"/>
          <w:lang w:val="ru-RU"/>
        </w:rPr>
        <w:t xml:space="preserve"> мотивите към Решение № 1 от 2017 г</w:t>
      </w:r>
      <w:r w:rsidR="00C36E9D">
        <w:rPr>
          <w:sz w:val="28"/>
          <w:szCs w:val="28"/>
          <w:lang w:val="ru-RU"/>
        </w:rPr>
        <w:t>. също така изтък</w:t>
      </w:r>
      <w:r w:rsidR="00DD0833">
        <w:rPr>
          <w:sz w:val="28"/>
          <w:szCs w:val="28"/>
          <w:lang w:val="ru-RU"/>
        </w:rPr>
        <w:t>ва, че:</w:t>
      </w:r>
      <w:r>
        <w:rPr>
          <w:sz w:val="28"/>
          <w:szCs w:val="28"/>
        </w:rPr>
        <w:t xml:space="preserve"> </w:t>
      </w:r>
      <w:r w:rsidR="00DD0833">
        <w:rPr>
          <w:sz w:val="28"/>
          <w:szCs w:val="28"/>
        </w:rPr>
        <w:t>„</w:t>
      </w:r>
      <w:r w:rsidR="00DD0833">
        <w:rPr>
          <w:i/>
          <w:sz w:val="28"/>
          <w:szCs w:val="28"/>
          <w:lang w:val="ru-RU"/>
        </w:rPr>
        <w:t>п</w:t>
      </w:r>
      <w:r w:rsidR="005D7EC7" w:rsidRPr="003654D7">
        <w:rPr>
          <w:i/>
          <w:sz w:val="28"/>
          <w:szCs w:val="28"/>
          <w:lang w:val="ru-RU"/>
        </w:rPr>
        <w:t xml:space="preserve">равоотношенията на съдии, прокурори и следователи са </w:t>
      </w:r>
      <w:r w:rsidR="005D7EC7" w:rsidRPr="0062010F">
        <w:rPr>
          <w:b/>
          <w:i/>
          <w:sz w:val="28"/>
          <w:szCs w:val="28"/>
          <w:lang w:val="ru-RU"/>
        </w:rPr>
        <w:lastRenderedPageBreak/>
        <w:t>самостоятелен вид административни правоотношения</w:t>
      </w:r>
      <w:r w:rsidR="005D7EC7" w:rsidRPr="003654D7">
        <w:rPr>
          <w:i/>
          <w:sz w:val="28"/>
          <w:szCs w:val="28"/>
          <w:lang w:val="ru-RU"/>
        </w:rPr>
        <w:t xml:space="preserve"> по изпълнение на платена държавна служба в изпълнение на функциите им при осъществяване на съдебната власт к</w:t>
      </w:r>
      <w:r w:rsidR="006A55EE" w:rsidRPr="003654D7">
        <w:rPr>
          <w:i/>
          <w:sz w:val="28"/>
          <w:szCs w:val="28"/>
          <w:lang w:val="ru-RU"/>
        </w:rPr>
        <w:t>ато отделен вид държавна власт.</w:t>
      </w:r>
      <w:r w:rsidR="005D7EC7" w:rsidRPr="003654D7">
        <w:rPr>
          <w:i/>
          <w:sz w:val="28"/>
          <w:szCs w:val="28"/>
          <w:lang w:val="ru-RU"/>
        </w:rPr>
        <w:t xml:space="preserve"> Независимо от спецификите на правоотношенията съдиите, прокурорите и следователите полагат труд в изпълнение на възложените им функции, изпълняват законовите си задължения и получават възнаграждение, ползват различни видове отпуски, подлежат на командироване и пр., </w:t>
      </w:r>
      <w:r w:rsidR="005D7EC7" w:rsidRPr="00DD0833">
        <w:rPr>
          <w:b/>
          <w:i/>
          <w:sz w:val="28"/>
          <w:szCs w:val="28"/>
          <w:lang w:val="ru-RU"/>
        </w:rPr>
        <w:t>пора</w:t>
      </w:r>
      <w:r w:rsidR="006F7E02">
        <w:rPr>
          <w:b/>
          <w:i/>
          <w:sz w:val="28"/>
          <w:szCs w:val="28"/>
          <w:lang w:val="ru-RU"/>
        </w:rPr>
        <w:t>ди което</w:t>
      </w:r>
      <w:r w:rsidR="005D7EC7" w:rsidRPr="00DD0833">
        <w:rPr>
          <w:b/>
          <w:i/>
          <w:sz w:val="28"/>
          <w:szCs w:val="28"/>
          <w:lang w:val="ru-RU"/>
        </w:rPr>
        <w:t xml:space="preserve"> в чл. 229 ЗСВ изрично е уредено субсидиарното прилагане на Кодекса на труда</w:t>
      </w:r>
      <w:r w:rsidR="005D7EC7" w:rsidRPr="003654D7">
        <w:rPr>
          <w:i/>
          <w:sz w:val="28"/>
          <w:szCs w:val="28"/>
          <w:lang w:val="ru-RU"/>
        </w:rPr>
        <w:t xml:space="preserve"> за неуредените в този раздел на Закона за съдебната власт въпроси. Следователно по отношение на</w:t>
      </w:r>
      <w:r w:rsidR="006F7E02">
        <w:rPr>
          <w:i/>
          <w:sz w:val="28"/>
          <w:szCs w:val="28"/>
          <w:lang w:val="ru-RU"/>
        </w:rPr>
        <w:t xml:space="preserve"> тях са приложими принципите и</w:t>
      </w:r>
      <w:r w:rsidR="005D7EC7" w:rsidRPr="003654D7">
        <w:rPr>
          <w:i/>
          <w:sz w:val="28"/>
          <w:szCs w:val="28"/>
          <w:lang w:val="ru-RU"/>
        </w:rPr>
        <w:t xml:space="preserve"> разпоредбите на международните актове и на вътрешното ни законодателство, </w:t>
      </w:r>
      <w:r w:rsidR="005D7EC7" w:rsidRPr="00DD0833">
        <w:rPr>
          <w:b/>
          <w:i/>
          <w:sz w:val="28"/>
          <w:szCs w:val="28"/>
          <w:lang w:val="ru-RU"/>
        </w:rPr>
        <w:t>свързани с пр</w:t>
      </w:r>
      <w:r w:rsidR="00DD0833" w:rsidRPr="00DD0833">
        <w:rPr>
          <w:b/>
          <w:i/>
          <w:sz w:val="28"/>
          <w:szCs w:val="28"/>
          <w:lang w:val="ru-RU"/>
        </w:rPr>
        <w:t>авото на труд и неговата защита</w:t>
      </w:r>
      <w:r w:rsidR="00DD0833">
        <w:rPr>
          <w:sz w:val="28"/>
          <w:szCs w:val="28"/>
        </w:rPr>
        <w:t>“.</w:t>
      </w:r>
    </w:p>
    <w:p w14:paraId="5F892C95" w14:textId="3C45F041" w:rsidR="005F2052" w:rsidRPr="00F802CC" w:rsidRDefault="003654D7" w:rsidP="00F802CC">
      <w:pPr>
        <w:spacing w:line="276" w:lineRule="auto"/>
        <w:ind w:firstLine="709"/>
        <w:jc w:val="both"/>
        <w:rPr>
          <w:sz w:val="28"/>
          <w:szCs w:val="28"/>
        </w:rPr>
      </w:pPr>
      <w:r w:rsidRPr="0073639A">
        <w:rPr>
          <w:sz w:val="28"/>
          <w:szCs w:val="28"/>
          <w:lang w:val="ru-RU"/>
        </w:rPr>
        <w:t xml:space="preserve">С оглед на това, че </w:t>
      </w:r>
      <w:r w:rsidR="0073639A" w:rsidRPr="0073639A">
        <w:rPr>
          <w:sz w:val="28"/>
          <w:szCs w:val="28"/>
          <w:lang w:val="ru-RU"/>
        </w:rPr>
        <w:t xml:space="preserve">характерът на правоотношенията на магистратите е </w:t>
      </w:r>
      <w:r w:rsidR="0073639A" w:rsidRPr="00F802CC">
        <w:rPr>
          <w:b/>
          <w:sz w:val="28"/>
          <w:szCs w:val="28"/>
          <w:lang w:val="ru-RU"/>
        </w:rPr>
        <w:t>специфичен</w:t>
      </w:r>
      <w:r w:rsidR="0073639A" w:rsidRPr="0073639A">
        <w:rPr>
          <w:sz w:val="28"/>
          <w:szCs w:val="28"/>
          <w:lang w:val="ru-RU"/>
        </w:rPr>
        <w:t>, в</w:t>
      </w:r>
      <w:r w:rsidR="00D82F10" w:rsidRPr="0073639A">
        <w:rPr>
          <w:sz w:val="28"/>
          <w:szCs w:val="28"/>
          <w:lang w:val="ru-RU"/>
        </w:rPr>
        <w:t xml:space="preserve"> текста на чл. 225, ал. 1 от ЗСВ законодателят</w:t>
      </w:r>
      <w:r w:rsidR="00D21EC4">
        <w:rPr>
          <w:sz w:val="28"/>
          <w:szCs w:val="28"/>
          <w:lang w:val="ru-RU"/>
        </w:rPr>
        <w:t xml:space="preserve"> е предвидил, че </w:t>
      </w:r>
      <w:r w:rsidR="00960A6A">
        <w:rPr>
          <w:sz w:val="28"/>
          <w:szCs w:val="28"/>
          <w:lang w:val="ru-RU"/>
        </w:rPr>
        <w:t>«</w:t>
      </w:r>
      <w:r w:rsidR="00D82F10" w:rsidRPr="00D21EC4">
        <w:rPr>
          <w:sz w:val="28"/>
          <w:szCs w:val="28"/>
          <w:lang w:val="ru-RU"/>
        </w:rPr>
        <w:t xml:space="preserve">при освобождаване от длъжност съдия, прокурор или следовател с повече от 10 години стаж на такава длъжност има право на </w:t>
      </w:r>
      <w:r w:rsidR="00D82F10" w:rsidRPr="00D21EC4">
        <w:rPr>
          <w:b/>
          <w:sz w:val="28"/>
          <w:szCs w:val="28"/>
          <w:lang w:val="ru-RU"/>
        </w:rPr>
        <w:t xml:space="preserve">еднократно парично обезщетение </w:t>
      </w:r>
      <w:r w:rsidR="00D82F10" w:rsidRPr="00D21EC4">
        <w:rPr>
          <w:sz w:val="28"/>
          <w:szCs w:val="28"/>
          <w:lang w:val="ru-RU"/>
        </w:rPr>
        <w:t>в размер на толкова брутни месечни възнаграждения, колкото прослужени години има в органите на съдебната власт, но не повече от 20».</w:t>
      </w:r>
      <w:r w:rsidR="00F802CC">
        <w:rPr>
          <w:sz w:val="28"/>
          <w:szCs w:val="28"/>
          <w:lang w:val="ru-RU"/>
        </w:rPr>
        <w:t xml:space="preserve"> </w:t>
      </w:r>
      <w:r w:rsidR="0073639A">
        <w:rPr>
          <w:sz w:val="28"/>
          <w:szCs w:val="28"/>
          <w:lang w:val="ru-RU"/>
        </w:rPr>
        <w:t xml:space="preserve">Изплащането на </w:t>
      </w:r>
      <w:r w:rsidR="000030ED">
        <w:rPr>
          <w:sz w:val="28"/>
          <w:szCs w:val="28"/>
          <w:lang w:val="ru-RU"/>
        </w:rPr>
        <w:t xml:space="preserve">това парично </w:t>
      </w:r>
      <w:r w:rsidR="0073639A">
        <w:rPr>
          <w:sz w:val="28"/>
          <w:szCs w:val="28"/>
          <w:lang w:val="ru-RU"/>
        </w:rPr>
        <w:t xml:space="preserve">обезщетение </w:t>
      </w:r>
      <w:r w:rsidR="000030ED" w:rsidRPr="000757F3">
        <w:rPr>
          <w:b/>
          <w:sz w:val="28"/>
          <w:szCs w:val="28"/>
          <w:lang w:val="ru-RU"/>
        </w:rPr>
        <w:t>няма характер</w:t>
      </w:r>
      <w:r w:rsidR="000030ED">
        <w:rPr>
          <w:sz w:val="28"/>
          <w:szCs w:val="28"/>
          <w:lang w:val="ru-RU"/>
        </w:rPr>
        <w:t xml:space="preserve"> на поощрение или награда, а се определя от броя на прослужените години в органите на тази власт. </w:t>
      </w:r>
    </w:p>
    <w:p w14:paraId="53ACC718" w14:textId="7964BEF0" w:rsidR="00960A6A" w:rsidRPr="005D7EC7" w:rsidRDefault="0095304E" w:rsidP="00CB356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Според Висшият адвокатски съвет </w:t>
      </w:r>
      <w:r w:rsidRPr="000757F3">
        <w:rPr>
          <w:b/>
          <w:sz w:val="28"/>
          <w:szCs w:val="28"/>
          <w:lang w:val="ru-RU"/>
        </w:rPr>
        <w:t>н</w:t>
      </w:r>
      <w:r w:rsidR="00CD1EFB" w:rsidRPr="000757F3">
        <w:rPr>
          <w:b/>
          <w:sz w:val="28"/>
          <w:szCs w:val="28"/>
          <w:lang w:val="ru-RU"/>
        </w:rPr>
        <w:t>яма конституционно установена</w:t>
      </w:r>
      <w:r w:rsidR="00CD1EFB" w:rsidRPr="00CD1EFB">
        <w:rPr>
          <w:sz w:val="28"/>
          <w:szCs w:val="28"/>
          <w:lang w:val="ru-RU"/>
        </w:rPr>
        <w:t xml:space="preserve"> </w:t>
      </w:r>
      <w:r w:rsidR="00CD1EFB" w:rsidRPr="000757F3">
        <w:rPr>
          <w:b/>
          <w:sz w:val="28"/>
          <w:szCs w:val="28"/>
          <w:lang w:val="ru-RU"/>
        </w:rPr>
        <w:t>причина</w:t>
      </w:r>
      <w:r w:rsidR="00CD1EFB" w:rsidRPr="00CD1EFB">
        <w:rPr>
          <w:sz w:val="28"/>
          <w:szCs w:val="28"/>
          <w:lang w:val="ru-RU"/>
        </w:rPr>
        <w:t xml:space="preserve"> съди</w:t>
      </w:r>
      <w:r w:rsidR="00B21522">
        <w:rPr>
          <w:sz w:val="28"/>
          <w:szCs w:val="28"/>
          <w:lang w:val="ru-RU"/>
        </w:rPr>
        <w:t>я, прокурор или следовател, който е</w:t>
      </w:r>
      <w:r w:rsidR="004E6AD0" w:rsidRPr="004E6AD0">
        <w:t xml:space="preserve"> </w:t>
      </w:r>
      <w:r w:rsidR="004E6AD0" w:rsidRPr="004E6AD0">
        <w:rPr>
          <w:sz w:val="28"/>
          <w:szCs w:val="28"/>
          <w:lang w:val="ru-RU"/>
        </w:rPr>
        <w:t>привлечен като обвиняем за извършване на умишлено престъпление или по отношение на него е образувано дисциплинарно производство,</w:t>
      </w:r>
      <w:r w:rsidR="00CD1EFB" w:rsidRPr="00CD1EFB">
        <w:rPr>
          <w:sz w:val="28"/>
          <w:szCs w:val="28"/>
          <w:lang w:val="ru-RU"/>
        </w:rPr>
        <w:t xml:space="preserve"> да бъ</w:t>
      </w:r>
      <w:r w:rsidR="00B21522">
        <w:rPr>
          <w:sz w:val="28"/>
          <w:szCs w:val="28"/>
          <w:lang w:val="ru-RU"/>
        </w:rPr>
        <w:t xml:space="preserve">де лишен от </w:t>
      </w:r>
      <w:r w:rsidR="00CD1EFB" w:rsidRPr="00CD1EFB">
        <w:rPr>
          <w:sz w:val="28"/>
          <w:szCs w:val="28"/>
          <w:lang w:val="ru-RU"/>
        </w:rPr>
        <w:t>право</w:t>
      </w:r>
      <w:r w:rsidR="00B21522">
        <w:rPr>
          <w:sz w:val="28"/>
          <w:szCs w:val="28"/>
          <w:lang w:val="ru-RU"/>
        </w:rPr>
        <w:t>то си</w:t>
      </w:r>
      <w:r w:rsidR="00CD1EFB" w:rsidRPr="00CD1EFB">
        <w:rPr>
          <w:sz w:val="28"/>
          <w:szCs w:val="28"/>
          <w:lang w:val="ru-RU"/>
        </w:rPr>
        <w:t xml:space="preserve"> да  </w:t>
      </w:r>
      <w:r w:rsidR="00B21522" w:rsidRPr="00B21522">
        <w:rPr>
          <w:sz w:val="28"/>
          <w:szCs w:val="28"/>
          <w:lang w:val="ru-RU"/>
        </w:rPr>
        <w:t>еднократно парично обезщетение в размер на толкова брутни месечни възнаграждения, колкото прослужени години има в органите на съде</w:t>
      </w:r>
      <w:r w:rsidR="00B21522">
        <w:rPr>
          <w:sz w:val="28"/>
          <w:szCs w:val="28"/>
          <w:lang w:val="ru-RU"/>
        </w:rPr>
        <w:t xml:space="preserve">бната власт, но не повече от 20. Подобно ограничение </w:t>
      </w:r>
      <w:r w:rsidR="00CD1EFB" w:rsidRPr="00CD1EFB">
        <w:rPr>
          <w:sz w:val="28"/>
          <w:szCs w:val="28"/>
          <w:lang w:val="ru-RU"/>
        </w:rPr>
        <w:t xml:space="preserve">е </w:t>
      </w:r>
      <w:r w:rsidR="00CD1EFB" w:rsidRPr="00C36E9D">
        <w:rPr>
          <w:b/>
          <w:sz w:val="28"/>
          <w:szCs w:val="28"/>
          <w:lang w:val="ru-RU"/>
        </w:rPr>
        <w:t>непропорционално</w:t>
      </w:r>
      <w:r w:rsidR="00CD1EFB" w:rsidRPr="00CD1EFB">
        <w:rPr>
          <w:sz w:val="28"/>
          <w:szCs w:val="28"/>
          <w:lang w:val="ru-RU"/>
        </w:rPr>
        <w:t xml:space="preserve"> и </w:t>
      </w:r>
      <w:r w:rsidR="00CD1EFB" w:rsidRPr="00C36E9D">
        <w:rPr>
          <w:b/>
          <w:sz w:val="28"/>
          <w:szCs w:val="28"/>
          <w:lang w:val="ru-RU"/>
        </w:rPr>
        <w:t>н</w:t>
      </w:r>
      <w:r w:rsidR="005D6134" w:rsidRPr="00C36E9D">
        <w:rPr>
          <w:b/>
          <w:sz w:val="28"/>
          <w:szCs w:val="28"/>
          <w:lang w:val="ru-RU"/>
        </w:rPr>
        <w:t>е е обусловено от легитимна цел</w:t>
      </w:r>
      <w:r w:rsidR="00CB356E">
        <w:rPr>
          <w:sz w:val="28"/>
          <w:szCs w:val="28"/>
          <w:lang w:val="ru-RU"/>
        </w:rPr>
        <w:t xml:space="preserve">. </w:t>
      </w:r>
    </w:p>
    <w:p w14:paraId="6A4DC6B4" w14:textId="2E9222FC" w:rsidR="0088283F" w:rsidRPr="00F5295F" w:rsidRDefault="00937A33" w:rsidP="00F529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Следва да се отбележи</w:t>
      </w:r>
      <w:r w:rsidR="00FA19F6" w:rsidRPr="00EA2243">
        <w:rPr>
          <w:sz w:val="28"/>
          <w:szCs w:val="28"/>
        </w:rPr>
        <w:t xml:space="preserve">, че неопределеният времеви период на </w:t>
      </w:r>
      <w:r w:rsidR="00AC3568">
        <w:rPr>
          <w:sz w:val="28"/>
          <w:szCs w:val="28"/>
        </w:rPr>
        <w:t>наказателното производство</w:t>
      </w:r>
      <w:r w:rsidR="00FA19F6" w:rsidRPr="00EA2243">
        <w:rPr>
          <w:sz w:val="28"/>
          <w:szCs w:val="28"/>
        </w:rPr>
        <w:t>, често с необосновано дълга продъл</w:t>
      </w:r>
      <w:r w:rsidR="00AC3568">
        <w:rPr>
          <w:sz w:val="28"/>
          <w:szCs w:val="28"/>
        </w:rPr>
        <w:t xml:space="preserve">жителност, </w:t>
      </w:r>
      <w:r w:rsidR="00AC3568" w:rsidRPr="008D5BBD">
        <w:rPr>
          <w:b/>
          <w:sz w:val="28"/>
          <w:szCs w:val="28"/>
        </w:rPr>
        <w:t>не позволява</w:t>
      </w:r>
      <w:r w:rsidR="00AC3568">
        <w:rPr>
          <w:sz w:val="28"/>
          <w:szCs w:val="28"/>
        </w:rPr>
        <w:t xml:space="preserve"> на магистрата</w:t>
      </w:r>
      <w:r w:rsidR="00FA19F6" w:rsidRPr="00EA2243">
        <w:rPr>
          <w:sz w:val="28"/>
          <w:szCs w:val="28"/>
        </w:rPr>
        <w:t xml:space="preserve"> да ползва правата, произтичащи от </w:t>
      </w:r>
      <w:r w:rsidR="00275C4B">
        <w:rPr>
          <w:sz w:val="28"/>
          <w:szCs w:val="28"/>
        </w:rPr>
        <w:t>освобождаването му от длъжност, а именно ползването на еднократното обезщетение съгласно чл. 225, ал. 1</w:t>
      </w:r>
      <w:r w:rsidR="00C74A89">
        <w:rPr>
          <w:sz w:val="28"/>
          <w:szCs w:val="28"/>
        </w:rPr>
        <w:t xml:space="preserve"> </w:t>
      </w:r>
      <w:r w:rsidR="00275C4B">
        <w:rPr>
          <w:sz w:val="28"/>
          <w:szCs w:val="28"/>
        </w:rPr>
        <w:t>от</w:t>
      </w:r>
      <w:r w:rsidR="00960A6A">
        <w:rPr>
          <w:sz w:val="28"/>
          <w:szCs w:val="28"/>
        </w:rPr>
        <w:t xml:space="preserve"> </w:t>
      </w:r>
      <w:r w:rsidR="00275C4B">
        <w:rPr>
          <w:sz w:val="28"/>
          <w:szCs w:val="28"/>
        </w:rPr>
        <w:t xml:space="preserve">ЗСВ. </w:t>
      </w:r>
      <w:r w:rsidR="00FA19F6" w:rsidRPr="00FD18D4">
        <w:rPr>
          <w:sz w:val="28"/>
          <w:szCs w:val="28"/>
          <w:lang w:val="ru-RU"/>
        </w:rPr>
        <w:t xml:space="preserve">Според чл. 4, ал. 1 от Конституцията, Република България е правова държава. Тя се управлява според Конституцията и законите на страната. </w:t>
      </w:r>
      <w:r w:rsidR="00960A6A">
        <w:rPr>
          <w:sz w:val="28"/>
          <w:szCs w:val="28"/>
        </w:rPr>
        <w:t>С Р</w:t>
      </w:r>
      <w:r w:rsidR="00FA19F6" w:rsidRPr="00EA2243">
        <w:rPr>
          <w:sz w:val="28"/>
          <w:szCs w:val="28"/>
        </w:rPr>
        <w:t>ешение №</w:t>
      </w:r>
      <w:r w:rsidR="00275C4B">
        <w:rPr>
          <w:sz w:val="28"/>
          <w:szCs w:val="28"/>
        </w:rPr>
        <w:t xml:space="preserve"> </w:t>
      </w:r>
      <w:r w:rsidR="00960A6A">
        <w:rPr>
          <w:sz w:val="28"/>
          <w:szCs w:val="28"/>
        </w:rPr>
        <w:t xml:space="preserve">7 от </w:t>
      </w:r>
      <w:r w:rsidR="00FA19F6" w:rsidRPr="00EA2243">
        <w:rPr>
          <w:sz w:val="28"/>
          <w:szCs w:val="28"/>
        </w:rPr>
        <w:t xml:space="preserve">2012 г. </w:t>
      </w:r>
      <w:r w:rsidR="00FA19F6">
        <w:rPr>
          <w:sz w:val="28"/>
          <w:szCs w:val="28"/>
        </w:rPr>
        <w:t>Конституционният съд е посочил</w:t>
      </w:r>
      <w:r w:rsidR="00FA19F6" w:rsidRPr="00EA2243">
        <w:rPr>
          <w:sz w:val="28"/>
          <w:szCs w:val="28"/>
        </w:rPr>
        <w:t xml:space="preserve">, че „поначало ограниченията на основните </w:t>
      </w:r>
      <w:r w:rsidR="00FA19F6" w:rsidRPr="00EA2243">
        <w:rPr>
          <w:sz w:val="28"/>
          <w:szCs w:val="28"/>
        </w:rPr>
        <w:lastRenderedPageBreak/>
        <w:t xml:space="preserve">права, вкл. правата – свободи са допустими, стига да се спазва </w:t>
      </w:r>
      <w:r w:rsidR="00FA19F6" w:rsidRPr="00C74A89">
        <w:rPr>
          <w:b/>
          <w:sz w:val="28"/>
          <w:szCs w:val="28"/>
        </w:rPr>
        <w:t>принципът на пропорционалността</w:t>
      </w:r>
      <w:r w:rsidR="00FA19F6" w:rsidRPr="00EA2243">
        <w:rPr>
          <w:sz w:val="28"/>
          <w:szCs w:val="28"/>
        </w:rPr>
        <w:t>“.</w:t>
      </w:r>
      <w:r w:rsidR="00FA19F6">
        <w:rPr>
          <w:sz w:val="28"/>
          <w:szCs w:val="28"/>
        </w:rPr>
        <w:t xml:space="preserve"> </w:t>
      </w:r>
      <w:r w:rsidR="00FA19F6" w:rsidRPr="00C74A89">
        <w:rPr>
          <w:b/>
          <w:sz w:val="28"/>
          <w:szCs w:val="28"/>
          <w:lang w:val="ru-RU"/>
        </w:rPr>
        <w:t>Изискването за пропорционалност</w:t>
      </w:r>
      <w:r w:rsidR="00FA19F6" w:rsidRPr="00FD18D4">
        <w:rPr>
          <w:sz w:val="28"/>
          <w:szCs w:val="28"/>
          <w:lang w:val="ru-RU"/>
        </w:rPr>
        <w:t xml:space="preserve"> на принципа на чл. 4, ал.</w:t>
      </w:r>
      <w:r w:rsidR="00275C4B">
        <w:rPr>
          <w:sz w:val="28"/>
          <w:szCs w:val="28"/>
          <w:lang w:val="ru-RU"/>
        </w:rPr>
        <w:t xml:space="preserve"> </w:t>
      </w:r>
      <w:r w:rsidR="00FA19F6" w:rsidRPr="00FD18D4">
        <w:rPr>
          <w:sz w:val="28"/>
          <w:szCs w:val="28"/>
          <w:lang w:val="ru-RU"/>
        </w:rPr>
        <w:t>1 от Конституцията се прилага като решаващ критерий за вида и размера на допустимите със закон ограничения, както и за определянето на конкретни гаранции при упражняване на основни права. Поставянет</w:t>
      </w:r>
      <w:r w:rsidR="00FA19F6">
        <w:rPr>
          <w:sz w:val="28"/>
          <w:szCs w:val="28"/>
          <w:lang w:val="ru-RU"/>
        </w:rPr>
        <w:t xml:space="preserve">о на правото </w:t>
      </w:r>
      <w:r w:rsidR="00FA19F6">
        <w:rPr>
          <w:sz w:val="28"/>
          <w:szCs w:val="28"/>
        </w:rPr>
        <w:t>за получаване на еднократно обезщетение при освобождаването от длъжност на магистрат</w:t>
      </w:r>
      <w:r w:rsidR="00FA19F6" w:rsidRPr="00FD18D4">
        <w:rPr>
          <w:sz w:val="28"/>
          <w:szCs w:val="28"/>
          <w:lang w:val="ru-RU"/>
        </w:rPr>
        <w:t xml:space="preserve">, в зависимост от продължителността на </w:t>
      </w:r>
      <w:r w:rsidR="00E42B76">
        <w:rPr>
          <w:sz w:val="28"/>
          <w:szCs w:val="28"/>
          <w:lang w:val="ru-RU"/>
        </w:rPr>
        <w:t>наказателното преследване, в т.</w:t>
      </w:r>
      <w:r w:rsidR="00FA19F6" w:rsidRPr="00FD18D4">
        <w:rPr>
          <w:sz w:val="28"/>
          <w:szCs w:val="28"/>
          <w:lang w:val="ru-RU"/>
        </w:rPr>
        <w:t xml:space="preserve">ч. и съдебните процедури установяващи не/виновността му, и прекомерната продължителност, </w:t>
      </w:r>
      <w:r w:rsidR="00FA19F6" w:rsidRPr="001A38E1">
        <w:rPr>
          <w:b/>
          <w:sz w:val="28"/>
          <w:szCs w:val="28"/>
          <w:lang w:val="ru-RU"/>
        </w:rPr>
        <w:t>представлява прекомерно дълъг период, в който лицето се намира в правна несигурност</w:t>
      </w:r>
      <w:r w:rsidR="00D90165">
        <w:rPr>
          <w:sz w:val="28"/>
          <w:szCs w:val="28"/>
          <w:lang w:val="ru-RU"/>
        </w:rPr>
        <w:t xml:space="preserve">. </w:t>
      </w:r>
    </w:p>
    <w:p w14:paraId="0683860A" w14:textId="0007BB20" w:rsidR="00FA19F6" w:rsidRPr="00722EDF" w:rsidRDefault="00793437" w:rsidP="00275C4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Въз основа на</w:t>
      </w:r>
      <w:r w:rsidR="0088283F">
        <w:rPr>
          <w:sz w:val="28"/>
          <w:szCs w:val="28"/>
          <w:lang w:val="ru-RU"/>
        </w:rPr>
        <w:t xml:space="preserve"> изложеното</w:t>
      </w:r>
      <w:r>
        <w:rPr>
          <w:sz w:val="28"/>
          <w:szCs w:val="28"/>
          <w:lang w:val="ru-RU"/>
        </w:rPr>
        <w:t xml:space="preserve"> В</w:t>
      </w:r>
      <w:r w:rsidR="0088283F">
        <w:rPr>
          <w:sz w:val="28"/>
          <w:szCs w:val="28"/>
          <w:lang w:val="ru-RU"/>
        </w:rPr>
        <w:t xml:space="preserve">исшият адвокатски съвет приема, </w:t>
      </w:r>
      <w:r>
        <w:rPr>
          <w:sz w:val="28"/>
          <w:szCs w:val="28"/>
          <w:lang w:val="ru-RU"/>
        </w:rPr>
        <w:t>че</w:t>
      </w:r>
      <w:r w:rsidR="00E61B9D">
        <w:rPr>
          <w:sz w:val="28"/>
          <w:szCs w:val="28"/>
          <w:lang w:val="ru-RU"/>
        </w:rPr>
        <w:t xml:space="preserve"> </w:t>
      </w:r>
      <w:r w:rsidR="0088283F">
        <w:rPr>
          <w:sz w:val="28"/>
          <w:szCs w:val="28"/>
          <w:lang w:val="ru-RU"/>
        </w:rPr>
        <w:t>принципът</w:t>
      </w:r>
      <w:r>
        <w:rPr>
          <w:sz w:val="28"/>
          <w:szCs w:val="28"/>
          <w:lang w:val="ru-RU"/>
        </w:rPr>
        <w:t xml:space="preserve"> за правовата държава (чл. 4, ал. </w:t>
      </w:r>
      <w:r w:rsidR="0088283F">
        <w:rPr>
          <w:sz w:val="28"/>
          <w:szCs w:val="28"/>
          <w:lang w:val="ru-RU"/>
        </w:rPr>
        <w:t>1 от Конституцията) е на</w:t>
      </w:r>
      <w:r w:rsidR="00E61B9D">
        <w:rPr>
          <w:sz w:val="28"/>
          <w:szCs w:val="28"/>
          <w:lang w:val="ru-RU"/>
        </w:rPr>
        <w:t>рушен, т.к. предвиденото</w:t>
      </w:r>
      <w:r w:rsidR="00722EDF" w:rsidRPr="00722EDF">
        <w:rPr>
          <w:sz w:val="28"/>
          <w:szCs w:val="28"/>
          <w:lang w:val="ru-RU"/>
        </w:rPr>
        <w:t xml:space="preserve"> ограничение </w:t>
      </w:r>
      <w:r w:rsidR="00E61B9D">
        <w:rPr>
          <w:sz w:val="28"/>
          <w:szCs w:val="28"/>
          <w:lang w:val="ru-RU"/>
        </w:rPr>
        <w:t xml:space="preserve">за получаване на еднократно обезщетение съгласно чл. 225, ал. 3 от ЗСВ е непропорционално, </w:t>
      </w:r>
      <w:r w:rsidR="00722EDF" w:rsidRPr="00722EDF">
        <w:rPr>
          <w:sz w:val="28"/>
          <w:szCs w:val="28"/>
          <w:lang w:val="ru-RU"/>
        </w:rPr>
        <w:t>н</w:t>
      </w:r>
      <w:r w:rsidR="00E61B9D">
        <w:rPr>
          <w:sz w:val="28"/>
          <w:szCs w:val="28"/>
          <w:lang w:val="ru-RU"/>
        </w:rPr>
        <w:t>е е обусловено от леги</w:t>
      </w:r>
      <w:r w:rsidR="00861F5C">
        <w:rPr>
          <w:sz w:val="28"/>
          <w:szCs w:val="28"/>
          <w:lang w:val="ru-RU"/>
        </w:rPr>
        <w:t>тимна цел и поставя магистрата</w:t>
      </w:r>
      <w:r w:rsidR="00E61B9D">
        <w:rPr>
          <w:sz w:val="28"/>
          <w:szCs w:val="28"/>
          <w:lang w:val="ru-RU"/>
        </w:rPr>
        <w:t xml:space="preserve"> </w:t>
      </w:r>
      <w:r w:rsidR="00861F5C">
        <w:rPr>
          <w:sz w:val="28"/>
          <w:szCs w:val="28"/>
          <w:lang w:val="ru-RU"/>
        </w:rPr>
        <w:t xml:space="preserve">прекалено дълъг период в правна несигурност. </w:t>
      </w:r>
    </w:p>
    <w:p w14:paraId="79666BDB" w14:textId="77777777" w:rsidR="005A3A34" w:rsidRDefault="005A3A34" w:rsidP="004A2D7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14:paraId="01BAE16B" w14:textId="4B523701" w:rsidR="005A3A34" w:rsidRPr="005A3A34" w:rsidRDefault="005A3A34" w:rsidP="005A3A3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t>II</w:t>
      </w:r>
      <w:r w:rsidRPr="002A38C1">
        <w:rPr>
          <w:b/>
          <w:sz w:val="28"/>
          <w:szCs w:val="28"/>
          <w:lang w:val="ru-RU"/>
        </w:rPr>
        <w:t xml:space="preserve">. </w:t>
      </w:r>
      <w:r w:rsidRPr="004F1541">
        <w:rPr>
          <w:b/>
          <w:sz w:val="28"/>
          <w:szCs w:val="28"/>
        </w:rPr>
        <w:t>Противоречие 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чл. 31, ал. 3 (</w:t>
      </w:r>
      <w:r w:rsidR="00FE06BC">
        <w:rPr>
          <w:b/>
          <w:sz w:val="28"/>
          <w:szCs w:val="28"/>
        </w:rPr>
        <w:t>презумцията за невиновност) и</w:t>
      </w:r>
      <w:r>
        <w:rPr>
          <w:b/>
          <w:sz w:val="28"/>
          <w:szCs w:val="28"/>
        </w:rPr>
        <w:t xml:space="preserve"> </w:t>
      </w:r>
      <w:r w:rsidRPr="005A3A34">
        <w:rPr>
          <w:b/>
          <w:sz w:val="28"/>
          <w:szCs w:val="28"/>
        </w:rPr>
        <w:t>чл. 31, ал. 4 от Консти</w:t>
      </w:r>
      <w:r>
        <w:rPr>
          <w:b/>
          <w:sz w:val="28"/>
          <w:szCs w:val="28"/>
        </w:rPr>
        <w:t>туцията (</w:t>
      </w:r>
      <w:r w:rsidRPr="005A3A34">
        <w:rPr>
          <w:b/>
          <w:sz w:val="28"/>
          <w:szCs w:val="28"/>
        </w:rPr>
        <w:t>ограничения на правата на обвиняемия, надхвърлящи необходимото за осъществяване на правосъдието</w:t>
      </w:r>
      <w:r>
        <w:rPr>
          <w:b/>
          <w:sz w:val="28"/>
          <w:szCs w:val="28"/>
        </w:rPr>
        <w:t>)</w:t>
      </w:r>
    </w:p>
    <w:p w14:paraId="42FE883F" w14:textId="77777777" w:rsidR="004A2D74" w:rsidRDefault="004A2D74" w:rsidP="00C45D43">
      <w:pPr>
        <w:spacing w:line="276" w:lineRule="auto"/>
        <w:jc w:val="both"/>
        <w:rPr>
          <w:sz w:val="28"/>
          <w:szCs w:val="28"/>
        </w:rPr>
      </w:pPr>
    </w:p>
    <w:p w14:paraId="3E2787DF" w14:textId="1EC4DD0C" w:rsidR="00076620" w:rsidRDefault="004C1A90" w:rsidP="003A1B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Висшият адвокатски съвет подкрепя посоченото в искането на</w:t>
      </w:r>
      <w:r w:rsidR="00647CD2" w:rsidRPr="008B5B08">
        <w:rPr>
          <w:sz w:val="28"/>
          <w:szCs w:val="28"/>
        </w:rPr>
        <w:t xml:space="preserve"> </w:t>
      </w:r>
      <w:r w:rsidR="00F5295F">
        <w:rPr>
          <w:sz w:val="28"/>
          <w:szCs w:val="28"/>
        </w:rPr>
        <w:t>ВКС</w:t>
      </w:r>
      <w:r>
        <w:rPr>
          <w:sz w:val="28"/>
          <w:szCs w:val="28"/>
        </w:rPr>
        <w:t xml:space="preserve">, че </w:t>
      </w:r>
      <w:r w:rsidR="003A5E59">
        <w:rPr>
          <w:sz w:val="28"/>
          <w:szCs w:val="28"/>
        </w:rPr>
        <w:t>разпоредба на чл. 225, ал. 3</w:t>
      </w:r>
      <w:r w:rsidR="00AA2BE2">
        <w:rPr>
          <w:sz w:val="28"/>
          <w:szCs w:val="28"/>
        </w:rPr>
        <w:t xml:space="preserve"> </w:t>
      </w:r>
      <w:r w:rsidR="00F7767B" w:rsidRPr="00F7767B">
        <w:rPr>
          <w:sz w:val="28"/>
          <w:szCs w:val="28"/>
        </w:rPr>
        <w:t xml:space="preserve">от </w:t>
      </w:r>
      <w:r w:rsidR="006B1091">
        <w:rPr>
          <w:sz w:val="28"/>
          <w:szCs w:val="28"/>
        </w:rPr>
        <w:t>ЗСВ</w:t>
      </w:r>
      <w:r w:rsidR="00F7767B" w:rsidRPr="00F7767B">
        <w:rPr>
          <w:sz w:val="28"/>
          <w:szCs w:val="28"/>
        </w:rPr>
        <w:t xml:space="preserve"> </w:t>
      </w:r>
      <w:r w:rsidR="00F7767B" w:rsidRPr="000E1556">
        <w:rPr>
          <w:b/>
          <w:sz w:val="28"/>
          <w:szCs w:val="28"/>
        </w:rPr>
        <w:t>не е</w:t>
      </w:r>
      <w:r w:rsidR="003E77D8" w:rsidRPr="000E1556">
        <w:rPr>
          <w:b/>
          <w:sz w:val="28"/>
          <w:szCs w:val="28"/>
        </w:rPr>
        <w:t xml:space="preserve"> в съответствие</w:t>
      </w:r>
      <w:r w:rsidR="003E77D8" w:rsidRPr="00532FEF">
        <w:rPr>
          <w:sz w:val="28"/>
          <w:szCs w:val="28"/>
        </w:rPr>
        <w:t xml:space="preserve"> </w:t>
      </w:r>
      <w:r w:rsidR="003E77D8" w:rsidRPr="006B1091">
        <w:rPr>
          <w:b/>
          <w:sz w:val="28"/>
          <w:szCs w:val="28"/>
        </w:rPr>
        <w:t>с</w:t>
      </w:r>
      <w:r w:rsidR="006B1091" w:rsidRPr="006B1091">
        <w:rPr>
          <w:b/>
          <w:sz w:val="28"/>
          <w:szCs w:val="28"/>
        </w:rPr>
        <w:t xml:space="preserve"> прогласената на конституционно ниво</w:t>
      </w:r>
      <w:r w:rsidR="006B1091" w:rsidRPr="006B1091">
        <w:rPr>
          <w:b/>
          <w:sz w:val="28"/>
          <w:szCs w:val="28"/>
          <w:lang w:val="ru-RU"/>
        </w:rPr>
        <w:t xml:space="preserve"> презумпция</w:t>
      </w:r>
      <w:r w:rsidR="00215700" w:rsidRPr="006B1091">
        <w:rPr>
          <w:b/>
          <w:sz w:val="28"/>
          <w:szCs w:val="28"/>
          <w:lang w:val="ru-RU"/>
        </w:rPr>
        <w:t xml:space="preserve"> за невиновност</w:t>
      </w:r>
      <w:r w:rsidR="006B1091">
        <w:rPr>
          <w:sz w:val="28"/>
          <w:szCs w:val="28"/>
          <w:lang w:val="ru-RU"/>
        </w:rPr>
        <w:t xml:space="preserve"> по чл. 31, ал. 3, както и </w:t>
      </w:r>
      <w:r w:rsidR="008812DA" w:rsidRPr="006B1091">
        <w:rPr>
          <w:b/>
          <w:sz w:val="28"/>
          <w:szCs w:val="28"/>
          <w:lang w:val="ru-RU"/>
        </w:rPr>
        <w:t>забраната</w:t>
      </w:r>
      <w:r w:rsidR="008812DA">
        <w:rPr>
          <w:sz w:val="28"/>
          <w:szCs w:val="28"/>
          <w:lang w:val="ru-RU"/>
        </w:rPr>
        <w:t xml:space="preserve"> по чл. 31, ал. </w:t>
      </w:r>
      <w:r w:rsidR="006B1091">
        <w:rPr>
          <w:sz w:val="28"/>
          <w:szCs w:val="28"/>
          <w:lang w:val="ru-RU"/>
        </w:rPr>
        <w:t xml:space="preserve">4 от Конституцията на Република България </w:t>
      </w:r>
      <w:r w:rsidR="008812DA">
        <w:rPr>
          <w:sz w:val="28"/>
          <w:szCs w:val="28"/>
          <w:lang w:val="ru-RU"/>
        </w:rPr>
        <w:t xml:space="preserve">за </w:t>
      </w:r>
      <w:r w:rsidR="008812DA" w:rsidRPr="008812DA">
        <w:rPr>
          <w:sz w:val="28"/>
          <w:szCs w:val="28"/>
          <w:lang w:val="ru-RU"/>
        </w:rPr>
        <w:t>ограничения на правата на обвиняемия, надхвърлящи необходимото за осъществяване на правосъдието</w:t>
      </w:r>
      <w:r w:rsidR="008812DA">
        <w:rPr>
          <w:sz w:val="28"/>
          <w:szCs w:val="28"/>
          <w:lang w:val="ru-RU"/>
        </w:rPr>
        <w:t xml:space="preserve">. </w:t>
      </w:r>
    </w:p>
    <w:p w14:paraId="3A86A6D1" w14:textId="26C825CF" w:rsidR="008812DA" w:rsidRDefault="006B21F5" w:rsidP="008812D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Въведеното </w:t>
      </w:r>
      <w:r w:rsidR="00FC7CB3">
        <w:rPr>
          <w:sz w:val="28"/>
          <w:szCs w:val="28"/>
        </w:rPr>
        <w:t xml:space="preserve">в чл. 225, ал. 3 от ЗСВ </w:t>
      </w:r>
      <w:r>
        <w:rPr>
          <w:sz w:val="28"/>
          <w:szCs w:val="28"/>
        </w:rPr>
        <w:t xml:space="preserve">ограничение </w:t>
      </w:r>
      <w:r w:rsidR="000639B1">
        <w:rPr>
          <w:sz w:val="28"/>
          <w:szCs w:val="28"/>
        </w:rPr>
        <w:t>за получаване на еднократно обезщетение при освобождаването от длъжност на магистрат</w:t>
      </w:r>
      <w:r>
        <w:rPr>
          <w:sz w:val="28"/>
          <w:szCs w:val="28"/>
        </w:rPr>
        <w:t xml:space="preserve"> в</w:t>
      </w:r>
      <w:r w:rsidRPr="006B21F5">
        <w:rPr>
          <w:sz w:val="28"/>
          <w:szCs w:val="28"/>
        </w:rPr>
        <w:t xml:space="preserve"> случаите, когато </w:t>
      </w:r>
      <w:r w:rsidR="00980554">
        <w:rPr>
          <w:sz w:val="28"/>
          <w:szCs w:val="28"/>
        </w:rPr>
        <w:t xml:space="preserve">той </w:t>
      </w:r>
      <w:r w:rsidRPr="006B21F5">
        <w:rPr>
          <w:sz w:val="28"/>
          <w:szCs w:val="28"/>
        </w:rPr>
        <w:t>е привлечен като обвиняем за извършване на умишлено престъпление или по отношение на него е образув</w:t>
      </w:r>
      <w:r w:rsidR="00FC7CB3">
        <w:rPr>
          <w:sz w:val="28"/>
          <w:szCs w:val="28"/>
        </w:rPr>
        <w:t xml:space="preserve">ано дисциплинарно производство </w:t>
      </w:r>
      <w:r w:rsidRPr="006B21F5">
        <w:rPr>
          <w:sz w:val="28"/>
          <w:szCs w:val="28"/>
        </w:rPr>
        <w:t>до приключване на наказателното и</w:t>
      </w:r>
      <w:r w:rsidR="002C7518">
        <w:rPr>
          <w:sz w:val="28"/>
          <w:szCs w:val="28"/>
        </w:rPr>
        <w:t xml:space="preserve">ли дисциплинарното производство </w:t>
      </w:r>
      <w:r w:rsidR="007E547F" w:rsidRPr="00156B6D">
        <w:rPr>
          <w:b/>
          <w:sz w:val="28"/>
          <w:szCs w:val="28"/>
          <w:lang w:val="ru-RU"/>
        </w:rPr>
        <w:t>нарушава презумпцията за невиновност</w:t>
      </w:r>
      <w:r w:rsidR="008812DA">
        <w:rPr>
          <w:b/>
          <w:sz w:val="28"/>
          <w:szCs w:val="28"/>
          <w:lang w:val="ru-RU"/>
        </w:rPr>
        <w:t xml:space="preserve"> по чл. 31, ал. 3 от Конституцията на Република България</w:t>
      </w:r>
      <w:r w:rsidR="007E547F" w:rsidRPr="007E547F">
        <w:rPr>
          <w:sz w:val="28"/>
          <w:szCs w:val="28"/>
          <w:lang w:val="ru-RU"/>
        </w:rPr>
        <w:t>, тъй като без да е доказано с влязла в сила присъда, че едно лице е</w:t>
      </w:r>
      <w:r w:rsidR="009F1D1D">
        <w:rPr>
          <w:sz w:val="28"/>
          <w:szCs w:val="28"/>
          <w:lang w:val="ru-RU"/>
        </w:rPr>
        <w:t xml:space="preserve"> извършило престъпление, то временно се</w:t>
      </w:r>
      <w:r w:rsidR="007E547F" w:rsidRPr="007E547F">
        <w:rPr>
          <w:sz w:val="28"/>
          <w:szCs w:val="28"/>
          <w:lang w:val="ru-RU"/>
        </w:rPr>
        <w:t xml:space="preserve"> </w:t>
      </w:r>
      <w:r w:rsidR="00980554">
        <w:rPr>
          <w:sz w:val="28"/>
          <w:szCs w:val="28"/>
          <w:lang w:val="ru-RU"/>
        </w:rPr>
        <w:lastRenderedPageBreak/>
        <w:t xml:space="preserve">лишава </w:t>
      </w:r>
      <w:r w:rsidR="007E547F" w:rsidRPr="007E547F">
        <w:rPr>
          <w:sz w:val="28"/>
          <w:szCs w:val="28"/>
          <w:lang w:val="ru-RU"/>
        </w:rPr>
        <w:t xml:space="preserve"> </w:t>
      </w:r>
      <w:r w:rsidR="00980554">
        <w:rPr>
          <w:sz w:val="28"/>
          <w:szCs w:val="28"/>
          <w:lang w:val="ru-RU"/>
        </w:rPr>
        <w:t>от</w:t>
      </w:r>
      <w:r w:rsidR="0013386F">
        <w:rPr>
          <w:sz w:val="28"/>
          <w:szCs w:val="28"/>
          <w:lang w:val="ru-RU"/>
        </w:rPr>
        <w:t xml:space="preserve"> възможността за</w:t>
      </w:r>
      <w:r w:rsidR="00980554">
        <w:rPr>
          <w:sz w:val="28"/>
          <w:szCs w:val="28"/>
        </w:rPr>
        <w:t xml:space="preserve"> получаване на еднократно обезщетение при освобождаването от длъжност</w:t>
      </w:r>
      <w:r w:rsidR="009F1D1D">
        <w:rPr>
          <w:sz w:val="28"/>
          <w:szCs w:val="28"/>
          <w:lang w:val="ru-RU"/>
        </w:rPr>
        <w:t xml:space="preserve">. </w:t>
      </w:r>
    </w:p>
    <w:p w14:paraId="1AA0BE3A" w14:textId="675F36C9" w:rsidR="007E547F" w:rsidRDefault="00156B6D" w:rsidP="006F115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Наред с това Висшият адвокатски съвет смята, че </w:t>
      </w:r>
      <w:r w:rsidR="007A65DA">
        <w:rPr>
          <w:sz w:val="28"/>
          <w:szCs w:val="28"/>
          <w:lang w:val="ru-RU"/>
        </w:rPr>
        <w:t>текстът на чл. 225, ал. 3 от ЗСВ е</w:t>
      </w:r>
      <w:r w:rsidR="002447C1">
        <w:rPr>
          <w:sz w:val="28"/>
          <w:szCs w:val="28"/>
          <w:lang w:val="ru-RU"/>
        </w:rPr>
        <w:t xml:space="preserve"> в противореч</w:t>
      </w:r>
      <w:r w:rsidR="008812DA">
        <w:rPr>
          <w:sz w:val="28"/>
          <w:szCs w:val="28"/>
          <w:lang w:val="ru-RU"/>
        </w:rPr>
        <w:t xml:space="preserve">ие и </w:t>
      </w:r>
      <w:r w:rsidR="008812DA" w:rsidRPr="00AA2BE2">
        <w:rPr>
          <w:b/>
          <w:sz w:val="28"/>
          <w:szCs w:val="28"/>
          <w:lang w:val="ru-RU"/>
        </w:rPr>
        <w:t>с чл. 31, ал. 4</w:t>
      </w:r>
      <w:r w:rsidR="008812DA">
        <w:rPr>
          <w:sz w:val="28"/>
          <w:szCs w:val="28"/>
          <w:lang w:val="ru-RU"/>
        </w:rPr>
        <w:t xml:space="preserve"> от Основния ни закон</w:t>
      </w:r>
      <w:r w:rsidR="00AA2BE2">
        <w:rPr>
          <w:sz w:val="28"/>
          <w:szCs w:val="28"/>
          <w:lang w:val="ru-RU"/>
        </w:rPr>
        <w:t>,</w:t>
      </w:r>
      <w:r w:rsidR="008812DA">
        <w:rPr>
          <w:sz w:val="28"/>
          <w:szCs w:val="28"/>
          <w:lang w:val="ru-RU"/>
        </w:rPr>
        <w:t xml:space="preserve"> съгласно който н</w:t>
      </w:r>
      <w:r w:rsidR="00173938" w:rsidRPr="00173938">
        <w:rPr>
          <w:sz w:val="28"/>
          <w:szCs w:val="28"/>
          <w:lang w:val="ru-RU"/>
        </w:rPr>
        <w:t>е се допускат ограничения на правата на обвиняемия, надхвърлящи необходимото за осъществяване на правосъдието.</w:t>
      </w:r>
      <w:r w:rsidR="00350F78">
        <w:rPr>
          <w:sz w:val="28"/>
          <w:szCs w:val="28"/>
          <w:lang w:val="ru-RU"/>
        </w:rPr>
        <w:t xml:space="preserve"> </w:t>
      </w:r>
      <w:r w:rsidR="0013386F">
        <w:rPr>
          <w:sz w:val="28"/>
          <w:szCs w:val="28"/>
        </w:rPr>
        <w:t>Ограничаването за получаване на еднократно обезщетение при освобождаването от длъжност на магистрат в</w:t>
      </w:r>
      <w:r w:rsidR="0013386F" w:rsidRPr="006B21F5">
        <w:rPr>
          <w:sz w:val="28"/>
          <w:szCs w:val="28"/>
        </w:rPr>
        <w:t xml:space="preserve"> случаите, когато </w:t>
      </w:r>
      <w:r w:rsidR="0013386F">
        <w:rPr>
          <w:sz w:val="28"/>
          <w:szCs w:val="28"/>
        </w:rPr>
        <w:t xml:space="preserve">той </w:t>
      </w:r>
      <w:r w:rsidR="0013386F" w:rsidRPr="006B21F5">
        <w:rPr>
          <w:sz w:val="28"/>
          <w:szCs w:val="28"/>
        </w:rPr>
        <w:t>е привлечен като обвиняем за извършване на умишлено престъпление или по отношение на него е образувано дисциплинарно производство</w:t>
      </w:r>
      <w:r w:rsidR="00144AD4">
        <w:rPr>
          <w:sz w:val="28"/>
          <w:szCs w:val="28"/>
          <w:lang w:val="ru-RU"/>
        </w:rPr>
        <w:t xml:space="preserve"> е </w:t>
      </w:r>
      <w:r w:rsidR="00144AD4" w:rsidRPr="005E455B">
        <w:rPr>
          <w:b/>
          <w:sz w:val="28"/>
          <w:szCs w:val="28"/>
          <w:lang w:val="ru-RU"/>
        </w:rPr>
        <w:t xml:space="preserve">прекомерна </w:t>
      </w:r>
      <w:r w:rsidR="006F1159" w:rsidRPr="005E455B">
        <w:rPr>
          <w:b/>
          <w:sz w:val="28"/>
          <w:szCs w:val="28"/>
          <w:lang w:val="ru-RU"/>
        </w:rPr>
        <w:t>мярка</w:t>
      </w:r>
      <w:r w:rsidR="006F1159">
        <w:rPr>
          <w:sz w:val="28"/>
          <w:szCs w:val="28"/>
          <w:lang w:val="ru-RU"/>
        </w:rPr>
        <w:t>, с която допълнително се ограничават правата на привлечения като обвиняем, надх</w:t>
      </w:r>
      <w:r w:rsidR="002C7518">
        <w:rPr>
          <w:sz w:val="28"/>
          <w:szCs w:val="28"/>
          <w:lang w:val="ru-RU"/>
        </w:rPr>
        <w:t>в</w:t>
      </w:r>
      <w:r w:rsidR="006F1159">
        <w:rPr>
          <w:sz w:val="28"/>
          <w:szCs w:val="28"/>
          <w:lang w:val="ru-RU"/>
        </w:rPr>
        <w:t>ърлящи необходимото за ос</w:t>
      </w:r>
      <w:r w:rsidR="005E455B">
        <w:rPr>
          <w:sz w:val="28"/>
          <w:szCs w:val="28"/>
          <w:lang w:val="ru-RU"/>
        </w:rPr>
        <w:t>ъществяването на правосъдието и поради това противоречи на чл. 31, ал. 4 от Основния ни закон.</w:t>
      </w:r>
    </w:p>
    <w:p w14:paraId="05E6ADE0" w14:textId="0160C671" w:rsidR="00BB337E" w:rsidRDefault="00EC17B4" w:rsidP="00F5295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Висшият адвокатски съвет подкрепя посочено в искането на подателя, че текстът на чл. 225, ал. 3 от ЗСВ </w:t>
      </w:r>
      <w:r w:rsidRPr="002C7518">
        <w:rPr>
          <w:b/>
          <w:sz w:val="28"/>
          <w:szCs w:val="28"/>
          <w:lang w:val="ru-RU"/>
        </w:rPr>
        <w:t>нарушава допустимите международни стандарти</w:t>
      </w:r>
      <w:r>
        <w:rPr>
          <w:sz w:val="28"/>
          <w:szCs w:val="28"/>
          <w:lang w:val="ru-RU"/>
        </w:rPr>
        <w:t xml:space="preserve"> за допустимите мерки за вмешателство – да се преследва легитимна цел и да се </w:t>
      </w:r>
      <w:r w:rsidR="00250C14">
        <w:rPr>
          <w:sz w:val="28"/>
          <w:szCs w:val="28"/>
          <w:lang w:val="ru-RU"/>
        </w:rPr>
        <w:t>постигне разумен баланс между използваните средства и целта</w:t>
      </w:r>
      <w:r w:rsidR="002C7518">
        <w:rPr>
          <w:sz w:val="28"/>
          <w:szCs w:val="28"/>
          <w:lang w:val="ru-RU"/>
        </w:rPr>
        <w:t xml:space="preserve">, чието постигане се търси. </w:t>
      </w:r>
      <w:r w:rsidR="00250C14">
        <w:rPr>
          <w:sz w:val="28"/>
          <w:szCs w:val="28"/>
          <w:lang w:val="ru-RU"/>
        </w:rPr>
        <w:t>Поради това е неоправдано обвиняемият</w:t>
      </w:r>
      <w:r w:rsidR="00BB337E">
        <w:rPr>
          <w:sz w:val="28"/>
          <w:szCs w:val="28"/>
          <w:lang w:val="ru-RU"/>
        </w:rPr>
        <w:t xml:space="preserve"> магистрат</w:t>
      </w:r>
      <w:r w:rsidR="00250C14">
        <w:rPr>
          <w:sz w:val="28"/>
          <w:szCs w:val="28"/>
          <w:lang w:val="ru-RU"/>
        </w:rPr>
        <w:t xml:space="preserve"> да търпи същите неблагоприятни правни последици, каквито би търпял </w:t>
      </w:r>
      <w:r w:rsidR="00D15F66">
        <w:rPr>
          <w:sz w:val="28"/>
          <w:szCs w:val="28"/>
          <w:lang w:val="ru-RU"/>
        </w:rPr>
        <w:t xml:space="preserve">и </w:t>
      </w:r>
      <w:r w:rsidR="00250C14">
        <w:rPr>
          <w:sz w:val="28"/>
          <w:szCs w:val="28"/>
          <w:lang w:val="ru-RU"/>
        </w:rPr>
        <w:t xml:space="preserve">в случай, че </w:t>
      </w:r>
      <w:r w:rsidR="006C4885">
        <w:rPr>
          <w:sz w:val="28"/>
          <w:szCs w:val="28"/>
          <w:lang w:val="ru-RU"/>
        </w:rPr>
        <w:t xml:space="preserve">с влязла в сила присъда е осъден на лишаване от свобода за умишлено престъпление. </w:t>
      </w:r>
    </w:p>
    <w:p w14:paraId="70366179" w14:textId="77777777" w:rsidR="00C21B74" w:rsidRPr="00404D3D" w:rsidRDefault="00C21B74" w:rsidP="00F5295F">
      <w:pPr>
        <w:spacing w:line="276" w:lineRule="auto"/>
        <w:ind w:firstLine="709"/>
        <w:jc w:val="both"/>
        <w:rPr>
          <w:sz w:val="28"/>
          <w:szCs w:val="28"/>
        </w:rPr>
      </w:pPr>
    </w:p>
    <w:p w14:paraId="38E453D1" w14:textId="14070725" w:rsidR="00173938" w:rsidRDefault="006C6833" w:rsidP="00496678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Въз основа на изложените по-горе аргументи </w:t>
      </w:r>
      <w:r w:rsidR="006E4BD2" w:rsidRPr="008B5B08">
        <w:rPr>
          <w:sz w:val="28"/>
          <w:szCs w:val="28"/>
        </w:rPr>
        <w:t xml:space="preserve">Висшият адвокатски съвет </w:t>
      </w:r>
      <w:r w:rsidR="006E4BD2" w:rsidRPr="00344E31">
        <w:rPr>
          <w:sz w:val="28"/>
          <w:szCs w:val="28"/>
        </w:rPr>
        <w:t>смята, че на ос</w:t>
      </w:r>
      <w:r w:rsidR="007A6F6F">
        <w:rPr>
          <w:sz w:val="28"/>
          <w:szCs w:val="28"/>
        </w:rPr>
        <w:t>нование чл. 149, ал. 1, т. 2</w:t>
      </w:r>
      <w:r w:rsidR="006E4BD2" w:rsidRPr="00344E31">
        <w:rPr>
          <w:sz w:val="28"/>
          <w:szCs w:val="28"/>
        </w:rPr>
        <w:t xml:space="preserve"> от Конституцията искането на </w:t>
      </w:r>
      <w:r w:rsidR="00F5295F">
        <w:rPr>
          <w:sz w:val="28"/>
          <w:szCs w:val="28"/>
        </w:rPr>
        <w:t>ВКС</w:t>
      </w:r>
      <w:r w:rsidR="006E4BD2" w:rsidRPr="008B5B08">
        <w:rPr>
          <w:sz w:val="28"/>
          <w:szCs w:val="28"/>
        </w:rPr>
        <w:t xml:space="preserve"> </w:t>
      </w:r>
      <w:r w:rsidR="00FD5748">
        <w:rPr>
          <w:sz w:val="28"/>
          <w:szCs w:val="28"/>
        </w:rPr>
        <w:t>следва да бъде уважено като</w:t>
      </w:r>
      <w:r w:rsidR="006E4BD2" w:rsidRPr="008B5B08">
        <w:rPr>
          <w:sz w:val="28"/>
          <w:szCs w:val="28"/>
        </w:rPr>
        <w:t xml:space="preserve"> </w:t>
      </w:r>
      <w:r w:rsidR="002156D4">
        <w:rPr>
          <w:sz w:val="28"/>
          <w:szCs w:val="28"/>
          <w:lang w:val="ru-RU"/>
        </w:rPr>
        <w:t xml:space="preserve">чл. 225, ал. 3 от ЗСВ </w:t>
      </w:r>
      <w:r w:rsidR="002156D4">
        <w:rPr>
          <w:sz w:val="28"/>
          <w:szCs w:val="28"/>
        </w:rPr>
        <w:t>трябва да бъде</w:t>
      </w:r>
      <w:r w:rsidR="006165C0">
        <w:rPr>
          <w:sz w:val="28"/>
          <w:szCs w:val="28"/>
        </w:rPr>
        <w:t xml:space="preserve"> обявен</w:t>
      </w:r>
      <w:r w:rsidR="006E4BD2" w:rsidRPr="00344E31">
        <w:rPr>
          <w:sz w:val="28"/>
          <w:szCs w:val="28"/>
        </w:rPr>
        <w:t xml:space="preserve"> за противоконституцион</w:t>
      </w:r>
      <w:r w:rsidR="002156D4">
        <w:rPr>
          <w:sz w:val="28"/>
          <w:szCs w:val="28"/>
        </w:rPr>
        <w:t>е</w:t>
      </w:r>
      <w:r w:rsidR="006165C0">
        <w:rPr>
          <w:sz w:val="28"/>
          <w:szCs w:val="28"/>
        </w:rPr>
        <w:t>н</w:t>
      </w:r>
      <w:r w:rsidR="006E4BD2" w:rsidRPr="00344E31">
        <w:rPr>
          <w:sz w:val="28"/>
          <w:szCs w:val="28"/>
        </w:rPr>
        <w:t xml:space="preserve"> </w:t>
      </w:r>
      <w:r w:rsidR="006F1159">
        <w:rPr>
          <w:sz w:val="28"/>
          <w:szCs w:val="28"/>
        </w:rPr>
        <w:t>като несъответстващ</w:t>
      </w:r>
      <w:r w:rsidR="00FD5748">
        <w:rPr>
          <w:sz w:val="28"/>
          <w:szCs w:val="28"/>
        </w:rPr>
        <w:t xml:space="preserve"> на</w:t>
      </w:r>
      <w:r w:rsidR="006F1159">
        <w:rPr>
          <w:sz w:val="28"/>
          <w:szCs w:val="28"/>
        </w:rPr>
        <w:t xml:space="preserve"> </w:t>
      </w:r>
      <w:r w:rsidR="0022169D">
        <w:rPr>
          <w:sz w:val="28"/>
          <w:szCs w:val="28"/>
        </w:rPr>
        <w:t>чл. 4, ал. 1 (</w:t>
      </w:r>
      <w:r w:rsidR="0022169D" w:rsidRPr="00173938">
        <w:rPr>
          <w:b/>
          <w:sz w:val="28"/>
          <w:szCs w:val="28"/>
        </w:rPr>
        <w:t>принципа за правовата държава</w:t>
      </w:r>
      <w:r w:rsidR="0022169D">
        <w:rPr>
          <w:sz w:val="28"/>
          <w:szCs w:val="28"/>
        </w:rPr>
        <w:t>)</w:t>
      </w:r>
      <w:r w:rsidR="00BB337E">
        <w:rPr>
          <w:sz w:val="28"/>
          <w:szCs w:val="28"/>
        </w:rPr>
        <w:t>,</w:t>
      </w:r>
      <w:r w:rsidR="0022169D">
        <w:rPr>
          <w:sz w:val="28"/>
          <w:szCs w:val="28"/>
        </w:rPr>
        <w:t xml:space="preserve"> чл. 31, ал. 3 (</w:t>
      </w:r>
      <w:r w:rsidR="0022169D" w:rsidRPr="00473B84">
        <w:rPr>
          <w:b/>
          <w:sz w:val="28"/>
          <w:szCs w:val="28"/>
        </w:rPr>
        <w:t>презумпцията за невиновност</w:t>
      </w:r>
      <w:r w:rsidR="00FD5748">
        <w:rPr>
          <w:sz w:val="28"/>
          <w:szCs w:val="28"/>
        </w:rPr>
        <w:t>)</w:t>
      </w:r>
      <w:r w:rsidR="0022169D">
        <w:rPr>
          <w:sz w:val="28"/>
          <w:szCs w:val="28"/>
        </w:rPr>
        <w:t xml:space="preserve"> и чл. 31, ал. 4 от Конституцията на Република България. </w:t>
      </w:r>
    </w:p>
    <w:p w14:paraId="44D7A075" w14:textId="77777777" w:rsidR="00A57C23" w:rsidRDefault="00A57C23" w:rsidP="00496678">
      <w:pPr>
        <w:spacing w:line="276" w:lineRule="auto"/>
        <w:ind w:firstLine="709"/>
        <w:jc w:val="both"/>
        <w:rPr>
          <w:sz w:val="28"/>
          <w:szCs w:val="28"/>
        </w:rPr>
      </w:pPr>
    </w:p>
    <w:p w14:paraId="1F337D06" w14:textId="77777777" w:rsidR="00A57C23" w:rsidRPr="008B5B08" w:rsidRDefault="00A57C23" w:rsidP="00496678">
      <w:pPr>
        <w:spacing w:line="276" w:lineRule="auto"/>
        <w:ind w:firstLine="709"/>
        <w:jc w:val="both"/>
        <w:rPr>
          <w:sz w:val="28"/>
          <w:szCs w:val="28"/>
        </w:rPr>
      </w:pPr>
    </w:p>
    <w:p w14:paraId="094F0F74" w14:textId="77777777" w:rsidR="00A455E5" w:rsidRPr="00344E31" w:rsidRDefault="00A455E5" w:rsidP="00CC515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  <w:r w:rsidRPr="00344E31">
        <w:rPr>
          <w:sz w:val="28"/>
          <w:szCs w:val="28"/>
          <w:lang w:val="bg-BG"/>
        </w:rPr>
        <w:t>ПРЕДСЕДАТЕЛ НА ВИСШИЯ</w:t>
      </w:r>
    </w:p>
    <w:p w14:paraId="48B7F9B1" w14:textId="35F0D220" w:rsidR="00CC5159" w:rsidRDefault="005D5EA9" w:rsidP="005D5EA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АДВОКАТСКИ СЪВЕТ</w:t>
      </w:r>
    </w:p>
    <w:p w14:paraId="72B9E379" w14:textId="77777777" w:rsidR="00701FFA" w:rsidRPr="00344E31" w:rsidRDefault="00701FFA" w:rsidP="005D5EA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  <w:bookmarkStart w:id="0" w:name="_GoBack"/>
      <w:bookmarkEnd w:id="0"/>
    </w:p>
    <w:p w14:paraId="54F2E6AC" w14:textId="4D408763" w:rsidR="00066776" w:rsidRPr="00344E31" w:rsidRDefault="005D5EA9" w:rsidP="00CC5159">
      <w:pPr>
        <w:pStyle w:val="BodyText"/>
        <w:spacing w:line="360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A455E5" w:rsidRPr="00344E31">
        <w:rPr>
          <w:sz w:val="28"/>
          <w:szCs w:val="28"/>
          <w:lang w:val="bg-BG"/>
        </w:rPr>
        <w:t xml:space="preserve">   </w:t>
      </w:r>
      <w:r w:rsidR="007604FD" w:rsidRPr="00344E31">
        <w:rPr>
          <w:sz w:val="28"/>
          <w:szCs w:val="28"/>
          <w:lang w:val="bg-BG"/>
        </w:rPr>
        <w:t xml:space="preserve">                    </w:t>
      </w:r>
      <w:r w:rsidR="00A455E5" w:rsidRPr="00344E31">
        <w:rPr>
          <w:sz w:val="28"/>
          <w:szCs w:val="28"/>
          <w:lang w:val="bg-BG"/>
        </w:rPr>
        <w:t>РАЛИЦА НЕГЕНЦОВА</w:t>
      </w:r>
    </w:p>
    <w:sectPr w:rsidR="00066776" w:rsidRPr="00344E31" w:rsidSect="00BF6E5B">
      <w:headerReference w:type="default" r:id="rId10"/>
      <w:pgSz w:w="11907" w:h="16839" w:code="9"/>
      <w:pgMar w:top="1134" w:right="1275" w:bottom="1560" w:left="1417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2EB6" w14:textId="77777777" w:rsidR="00965C7E" w:rsidRDefault="00965C7E" w:rsidP="00A455E5">
      <w:r>
        <w:separator/>
      </w:r>
    </w:p>
  </w:endnote>
  <w:endnote w:type="continuationSeparator" w:id="0">
    <w:p w14:paraId="169926B8" w14:textId="77777777" w:rsidR="00965C7E" w:rsidRDefault="00965C7E" w:rsidP="00A4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37790" w14:textId="77777777" w:rsidR="00965C7E" w:rsidRDefault="00965C7E" w:rsidP="00A455E5">
      <w:r>
        <w:separator/>
      </w:r>
    </w:p>
  </w:footnote>
  <w:footnote w:type="continuationSeparator" w:id="0">
    <w:p w14:paraId="6A239ABC" w14:textId="77777777" w:rsidR="00965C7E" w:rsidRDefault="00965C7E" w:rsidP="00A4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0D7E" w14:textId="77777777" w:rsidR="00A455E5" w:rsidRDefault="0052684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98A">
      <w:rPr>
        <w:noProof/>
      </w:rPr>
      <w:t>5</w:t>
    </w:r>
    <w:r>
      <w:rPr>
        <w:noProof/>
      </w:rPr>
      <w:fldChar w:fldCharType="end"/>
    </w:r>
  </w:p>
  <w:p w14:paraId="203795A8" w14:textId="77777777" w:rsidR="00A455E5" w:rsidRDefault="00A45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A04"/>
    <w:multiLevelType w:val="hybridMultilevel"/>
    <w:tmpl w:val="89A8739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E47EDD"/>
    <w:multiLevelType w:val="hybridMultilevel"/>
    <w:tmpl w:val="80E4521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9E6421"/>
    <w:multiLevelType w:val="hybridMultilevel"/>
    <w:tmpl w:val="F0B28848"/>
    <w:lvl w:ilvl="0" w:tplc="0402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E13916"/>
    <w:multiLevelType w:val="hybridMultilevel"/>
    <w:tmpl w:val="8D4AB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456AB"/>
    <w:multiLevelType w:val="hybridMultilevel"/>
    <w:tmpl w:val="98CEC2BA"/>
    <w:lvl w:ilvl="0" w:tplc="025CEF5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5C510B"/>
    <w:multiLevelType w:val="hybridMultilevel"/>
    <w:tmpl w:val="B32072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E5"/>
    <w:rsid w:val="000030ED"/>
    <w:rsid w:val="00003FE4"/>
    <w:rsid w:val="000108B5"/>
    <w:rsid w:val="000166A0"/>
    <w:rsid w:val="000168B1"/>
    <w:rsid w:val="000241A2"/>
    <w:rsid w:val="000264EB"/>
    <w:rsid w:val="00027C60"/>
    <w:rsid w:val="000330F4"/>
    <w:rsid w:val="00034A19"/>
    <w:rsid w:val="00041DC0"/>
    <w:rsid w:val="00044D26"/>
    <w:rsid w:val="000510AB"/>
    <w:rsid w:val="0005167C"/>
    <w:rsid w:val="000633A0"/>
    <w:rsid w:val="000639B1"/>
    <w:rsid w:val="00066776"/>
    <w:rsid w:val="000757F3"/>
    <w:rsid w:val="00075B97"/>
    <w:rsid w:val="00076620"/>
    <w:rsid w:val="000824E5"/>
    <w:rsid w:val="000825B4"/>
    <w:rsid w:val="00087747"/>
    <w:rsid w:val="000A058F"/>
    <w:rsid w:val="000A2AEB"/>
    <w:rsid w:val="000A2B53"/>
    <w:rsid w:val="000A397E"/>
    <w:rsid w:val="000A532D"/>
    <w:rsid w:val="000A7091"/>
    <w:rsid w:val="000B2F86"/>
    <w:rsid w:val="000B535B"/>
    <w:rsid w:val="000B6EE9"/>
    <w:rsid w:val="000C4689"/>
    <w:rsid w:val="000D385E"/>
    <w:rsid w:val="000D48C7"/>
    <w:rsid w:val="000D4945"/>
    <w:rsid w:val="000D502A"/>
    <w:rsid w:val="000D520E"/>
    <w:rsid w:val="000E0160"/>
    <w:rsid w:val="000E04C5"/>
    <w:rsid w:val="000E1556"/>
    <w:rsid w:val="000E5950"/>
    <w:rsid w:val="000E6859"/>
    <w:rsid w:val="000F5248"/>
    <w:rsid w:val="000F62DC"/>
    <w:rsid w:val="0010178B"/>
    <w:rsid w:val="00101851"/>
    <w:rsid w:val="00105374"/>
    <w:rsid w:val="00112E81"/>
    <w:rsid w:val="00115194"/>
    <w:rsid w:val="0012067E"/>
    <w:rsid w:val="001217B2"/>
    <w:rsid w:val="0012372F"/>
    <w:rsid w:val="00132CCD"/>
    <w:rsid w:val="00132F04"/>
    <w:rsid w:val="0013386F"/>
    <w:rsid w:val="0013508A"/>
    <w:rsid w:val="001403D1"/>
    <w:rsid w:val="00141050"/>
    <w:rsid w:val="00144AD4"/>
    <w:rsid w:val="0015607E"/>
    <w:rsid w:val="00156B6D"/>
    <w:rsid w:val="001578F3"/>
    <w:rsid w:val="00161623"/>
    <w:rsid w:val="001675F6"/>
    <w:rsid w:val="0017289F"/>
    <w:rsid w:val="00173255"/>
    <w:rsid w:val="00173938"/>
    <w:rsid w:val="00175413"/>
    <w:rsid w:val="00186400"/>
    <w:rsid w:val="00191425"/>
    <w:rsid w:val="00192E05"/>
    <w:rsid w:val="00194D64"/>
    <w:rsid w:val="001A0FD5"/>
    <w:rsid w:val="001A38E1"/>
    <w:rsid w:val="001A72CB"/>
    <w:rsid w:val="001A7BD3"/>
    <w:rsid w:val="001B1230"/>
    <w:rsid w:val="001C78AF"/>
    <w:rsid w:val="001C7F2A"/>
    <w:rsid w:val="001D087F"/>
    <w:rsid w:val="001D41C3"/>
    <w:rsid w:val="001D4BAE"/>
    <w:rsid w:val="001E1E36"/>
    <w:rsid w:val="001E20FD"/>
    <w:rsid w:val="001F0B13"/>
    <w:rsid w:val="001F0E5C"/>
    <w:rsid w:val="001F45D7"/>
    <w:rsid w:val="001F58C4"/>
    <w:rsid w:val="001F6CDB"/>
    <w:rsid w:val="00205170"/>
    <w:rsid w:val="00212597"/>
    <w:rsid w:val="00215184"/>
    <w:rsid w:val="002153EA"/>
    <w:rsid w:val="002156D4"/>
    <w:rsid w:val="00215700"/>
    <w:rsid w:val="0022169D"/>
    <w:rsid w:val="00224E27"/>
    <w:rsid w:val="00233C4B"/>
    <w:rsid w:val="00234688"/>
    <w:rsid w:val="00240FAA"/>
    <w:rsid w:val="002447C1"/>
    <w:rsid w:val="00244C4F"/>
    <w:rsid w:val="00245547"/>
    <w:rsid w:val="00250C14"/>
    <w:rsid w:val="00252E54"/>
    <w:rsid w:val="002553CE"/>
    <w:rsid w:val="0025610D"/>
    <w:rsid w:val="00264F21"/>
    <w:rsid w:val="00265759"/>
    <w:rsid w:val="00271E86"/>
    <w:rsid w:val="00272105"/>
    <w:rsid w:val="00275C4B"/>
    <w:rsid w:val="00280D6C"/>
    <w:rsid w:val="002818EF"/>
    <w:rsid w:val="00282D2D"/>
    <w:rsid w:val="0028310D"/>
    <w:rsid w:val="002834D0"/>
    <w:rsid w:val="00295871"/>
    <w:rsid w:val="00297300"/>
    <w:rsid w:val="002975CE"/>
    <w:rsid w:val="002A0781"/>
    <w:rsid w:val="002A1B6A"/>
    <w:rsid w:val="002A38C1"/>
    <w:rsid w:val="002A45B0"/>
    <w:rsid w:val="002A5FDD"/>
    <w:rsid w:val="002A61F0"/>
    <w:rsid w:val="002B2BD1"/>
    <w:rsid w:val="002B66B6"/>
    <w:rsid w:val="002C27D5"/>
    <w:rsid w:val="002C33F4"/>
    <w:rsid w:val="002C7518"/>
    <w:rsid w:val="002D7B95"/>
    <w:rsid w:val="002F05E1"/>
    <w:rsid w:val="002F3A15"/>
    <w:rsid w:val="002F6703"/>
    <w:rsid w:val="00302D2B"/>
    <w:rsid w:val="00302E69"/>
    <w:rsid w:val="003046EB"/>
    <w:rsid w:val="0030661B"/>
    <w:rsid w:val="003128E8"/>
    <w:rsid w:val="0031790B"/>
    <w:rsid w:val="00317AFF"/>
    <w:rsid w:val="00324C73"/>
    <w:rsid w:val="00324D36"/>
    <w:rsid w:val="0034108C"/>
    <w:rsid w:val="00344E31"/>
    <w:rsid w:val="003457FE"/>
    <w:rsid w:val="0034654B"/>
    <w:rsid w:val="00346EC6"/>
    <w:rsid w:val="00350F78"/>
    <w:rsid w:val="0035237A"/>
    <w:rsid w:val="00352427"/>
    <w:rsid w:val="003540C0"/>
    <w:rsid w:val="003654D7"/>
    <w:rsid w:val="00365902"/>
    <w:rsid w:val="00372480"/>
    <w:rsid w:val="00383AB9"/>
    <w:rsid w:val="00387957"/>
    <w:rsid w:val="0039469A"/>
    <w:rsid w:val="003A1B10"/>
    <w:rsid w:val="003A2600"/>
    <w:rsid w:val="003A4171"/>
    <w:rsid w:val="003A47EB"/>
    <w:rsid w:val="003A5E59"/>
    <w:rsid w:val="003A6677"/>
    <w:rsid w:val="003B151F"/>
    <w:rsid w:val="003B37C3"/>
    <w:rsid w:val="003C33A0"/>
    <w:rsid w:val="003C6701"/>
    <w:rsid w:val="003D51B6"/>
    <w:rsid w:val="003D5DAA"/>
    <w:rsid w:val="003E0074"/>
    <w:rsid w:val="003E2A37"/>
    <w:rsid w:val="003E40B9"/>
    <w:rsid w:val="003E47FA"/>
    <w:rsid w:val="003E589E"/>
    <w:rsid w:val="003E62DC"/>
    <w:rsid w:val="003E74F5"/>
    <w:rsid w:val="003E77D8"/>
    <w:rsid w:val="003F198A"/>
    <w:rsid w:val="003F5F8C"/>
    <w:rsid w:val="003F616A"/>
    <w:rsid w:val="00404D3D"/>
    <w:rsid w:val="004071BC"/>
    <w:rsid w:val="00414E5C"/>
    <w:rsid w:val="0043067C"/>
    <w:rsid w:val="00431448"/>
    <w:rsid w:val="00432430"/>
    <w:rsid w:val="00432B5B"/>
    <w:rsid w:val="00444BC6"/>
    <w:rsid w:val="0044522F"/>
    <w:rsid w:val="00446552"/>
    <w:rsid w:val="00450B6A"/>
    <w:rsid w:val="004516B8"/>
    <w:rsid w:val="00451D9F"/>
    <w:rsid w:val="004676C6"/>
    <w:rsid w:val="00470A64"/>
    <w:rsid w:val="00473B84"/>
    <w:rsid w:val="00481954"/>
    <w:rsid w:val="00492B94"/>
    <w:rsid w:val="00496678"/>
    <w:rsid w:val="00497BA9"/>
    <w:rsid w:val="004A14E3"/>
    <w:rsid w:val="004A2D74"/>
    <w:rsid w:val="004A4757"/>
    <w:rsid w:val="004B0074"/>
    <w:rsid w:val="004B125F"/>
    <w:rsid w:val="004B6C76"/>
    <w:rsid w:val="004B7A74"/>
    <w:rsid w:val="004C1A90"/>
    <w:rsid w:val="004C2693"/>
    <w:rsid w:val="004D2346"/>
    <w:rsid w:val="004E4AED"/>
    <w:rsid w:val="004E59D5"/>
    <w:rsid w:val="004E6AD0"/>
    <w:rsid w:val="004F01BF"/>
    <w:rsid w:val="004F052C"/>
    <w:rsid w:val="004F0EB9"/>
    <w:rsid w:val="004F1541"/>
    <w:rsid w:val="004F5CC1"/>
    <w:rsid w:val="004F646E"/>
    <w:rsid w:val="0050246D"/>
    <w:rsid w:val="00503021"/>
    <w:rsid w:val="005119E9"/>
    <w:rsid w:val="00512EF8"/>
    <w:rsid w:val="0052362D"/>
    <w:rsid w:val="005264F8"/>
    <w:rsid w:val="00526844"/>
    <w:rsid w:val="00532FEF"/>
    <w:rsid w:val="005336A1"/>
    <w:rsid w:val="005339A9"/>
    <w:rsid w:val="005339FB"/>
    <w:rsid w:val="005354B4"/>
    <w:rsid w:val="00536F3E"/>
    <w:rsid w:val="0053737E"/>
    <w:rsid w:val="00544BE2"/>
    <w:rsid w:val="00554A43"/>
    <w:rsid w:val="0055672F"/>
    <w:rsid w:val="00556A75"/>
    <w:rsid w:val="0056050F"/>
    <w:rsid w:val="00562CE7"/>
    <w:rsid w:val="005658F8"/>
    <w:rsid w:val="005661AA"/>
    <w:rsid w:val="00566DF0"/>
    <w:rsid w:val="005728A3"/>
    <w:rsid w:val="0057725B"/>
    <w:rsid w:val="005876FF"/>
    <w:rsid w:val="005946E7"/>
    <w:rsid w:val="005A3A34"/>
    <w:rsid w:val="005B4D21"/>
    <w:rsid w:val="005D5EA9"/>
    <w:rsid w:val="005D6134"/>
    <w:rsid w:val="005D7EC7"/>
    <w:rsid w:val="005E455B"/>
    <w:rsid w:val="005E6792"/>
    <w:rsid w:val="005E790F"/>
    <w:rsid w:val="005F0A1A"/>
    <w:rsid w:val="005F1936"/>
    <w:rsid w:val="005F2052"/>
    <w:rsid w:val="005F4203"/>
    <w:rsid w:val="005F5247"/>
    <w:rsid w:val="005F783A"/>
    <w:rsid w:val="00605680"/>
    <w:rsid w:val="00605B45"/>
    <w:rsid w:val="006124B0"/>
    <w:rsid w:val="00613B42"/>
    <w:rsid w:val="00613FBC"/>
    <w:rsid w:val="006158EE"/>
    <w:rsid w:val="006165C0"/>
    <w:rsid w:val="0062010F"/>
    <w:rsid w:val="00622EB7"/>
    <w:rsid w:val="00624FA3"/>
    <w:rsid w:val="00627D20"/>
    <w:rsid w:val="00643AD7"/>
    <w:rsid w:val="00643D87"/>
    <w:rsid w:val="00647CD2"/>
    <w:rsid w:val="006518CF"/>
    <w:rsid w:val="00651CD7"/>
    <w:rsid w:val="00652360"/>
    <w:rsid w:val="00657462"/>
    <w:rsid w:val="00674D63"/>
    <w:rsid w:val="00693DE5"/>
    <w:rsid w:val="006953CA"/>
    <w:rsid w:val="00695A97"/>
    <w:rsid w:val="006A55EE"/>
    <w:rsid w:val="006A701B"/>
    <w:rsid w:val="006B1091"/>
    <w:rsid w:val="006B21F5"/>
    <w:rsid w:val="006B41DC"/>
    <w:rsid w:val="006B499C"/>
    <w:rsid w:val="006B62BC"/>
    <w:rsid w:val="006C3380"/>
    <w:rsid w:val="006C4885"/>
    <w:rsid w:val="006C4F08"/>
    <w:rsid w:val="006C6833"/>
    <w:rsid w:val="006C6C10"/>
    <w:rsid w:val="006D52AC"/>
    <w:rsid w:val="006E28A9"/>
    <w:rsid w:val="006E4BD2"/>
    <w:rsid w:val="006F1159"/>
    <w:rsid w:val="006F5258"/>
    <w:rsid w:val="006F7E02"/>
    <w:rsid w:val="007002A5"/>
    <w:rsid w:val="00701FFA"/>
    <w:rsid w:val="00704FD9"/>
    <w:rsid w:val="00711BDF"/>
    <w:rsid w:val="007132D2"/>
    <w:rsid w:val="007205E0"/>
    <w:rsid w:val="00722EDF"/>
    <w:rsid w:val="00723599"/>
    <w:rsid w:val="00734CB7"/>
    <w:rsid w:val="0073639A"/>
    <w:rsid w:val="00736D52"/>
    <w:rsid w:val="00737BDA"/>
    <w:rsid w:val="00741241"/>
    <w:rsid w:val="007420CF"/>
    <w:rsid w:val="00757673"/>
    <w:rsid w:val="00757B35"/>
    <w:rsid w:val="007604FD"/>
    <w:rsid w:val="00765C5F"/>
    <w:rsid w:val="00772A5B"/>
    <w:rsid w:val="00780E00"/>
    <w:rsid w:val="00783B25"/>
    <w:rsid w:val="00793437"/>
    <w:rsid w:val="007966A1"/>
    <w:rsid w:val="007A65DA"/>
    <w:rsid w:val="007A6F6F"/>
    <w:rsid w:val="007A79D8"/>
    <w:rsid w:val="007B0615"/>
    <w:rsid w:val="007B0FE9"/>
    <w:rsid w:val="007B562C"/>
    <w:rsid w:val="007B6D81"/>
    <w:rsid w:val="007B7308"/>
    <w:rsid w:val="007C4EEE"/>
    <w:rsid w:val="007C735D"/>
    <w:rsid w:val="007D11C3"/>
    <w:rsid w:val="007D1897"/>
    <w:rsid w:val="007D7EF6"/>
    <w:rsid w:val="007E2C32"/>
    <w:rsid w:val="007E547F"/>
    <w:rsid w:val="007E6166"/>
    <w:rsid w:val="007F35ED"/>
    <w:rsid w:val="0080152A"/>
    <w:rsid w:val="00802067"/>
    <w:rsid w:val="008135E4"/>
    <w:rsid w:val="0082299B"/>
    <w:rsid w:val="00826286"/>
    <w:rsid w:val="00835912"/>
    <w:rsid w:val="00836E8F"/>
    <w:rsid w:val="00843DCE"/>
    <w:rsid w:val="00850EBF"/>
    <w:rsid w:val="00861F5C"/>
    <w:rsid w:val="00867E48"/>
    <w:rsid w:val="008812DA"/>
    <w:rsid w:val="0088283F"/>
    <w:rsid w:val="00884546"/>
    <w:rsid w:val="008846AF"/>
    <w:rsid w:val="008A12DA"/>
    <w:rsid w:val="008B08BE"/>
    <w:rsid w:val="008B137F"/>
    <w:rsid w:val="008B2277"/>
    <w:rsid w:val="008B4973"/>
    <w:rsid w:val="008B5B08"/>
    <w:rsid w:val="008C072B"/>
    <w:rsid w:val="008C0B24"/>
    <w:rsid w:val="008C2B69"/>
    <w:rsid w:val="008C3BBD"/>
    <w:rsid w:val="008D44EA"/>
    <w:rsid w:val="008D5BBD"/>
    <w:rsid w:val="008E21D7"/>
    <w:rsid w:val="008E48D7"/>
    <w:rsid w:val="008F430D"/>
    <w:rsid w:val="008F5166"/>
    <w:rsid w:val="008F5AA3"/>
    <w:rsid w:val="008F7C8D"/>
    <w:rsid w:val="00900E95"/>
    <w:rsid w:val="00905D5E"/>
    <w:rsid w:val="00907292"/>
    <w:rsid w:val="0091684D"/>
    <w:rsid w:val="0092507A"/>
    <w:rsid w:val="00926F44"/>
    <w:rsid w:val="00930FF2"/>
    <w:rsid w:val="00934EAE"/>
    <w:rsid w:val="00937A33"/>
    <w:rsid w:val="00945E25"/>
    <w:rsid w:val="00952DB7"/>
    <w:rsid w:val="0095304E"/>
    <w:rsid w:val="009545D6"/>
    <w:rsid w:val="009556C4"/>
    <w:rsid w:val="00960A6A"/>
    <w:rsid w:val="009654CA"/>
    <w:rsid w:val="00965C7E"/>
    <w:rsid w:val="00974A08"/>
    <w:rsid w:val="00980554"/>
    <w:rsid w:val="00985DA2"/>
    <w:rsid w:val="00993502"/>
    <w:rsid w:val="009A4CED"/>
    <w:rsid w:val="009A5236"/>
    <w:rsid w:val="009A5F32"/>
    <w:rsid w:val="009A6940"/>
    <w:rsid w:val="009B73D0"/>
    <w:rsid w:val="009C0274"/>
    <w:rsid w:val="009D330D"/>
    <w:rsid w:val="009D456A"/>
    <w:rsid w:val="009D5BC8"/>
    <w:rsid w:val="009E03D9"/>
    <w:rsid w:val="009E1DD0"/>
    <w:rsid w:val="009F1D1D"/>
    <w:rsid w:val="009F31E0"/>
    <w:rsid w:val="00A00EAD"/>
    <w:rsid w:val="00A02C83"/>
    <w:rsid w:val="00A03BA2"/>
    <w:rsid w:val="00A117F9"/>
    <w:rsid w:val="00A1562B"/>
    <w:rsid w:val="00A222FE"/>
    <w:rsid w:val="00A26848"/>
    <w:rsid w:val="00A34CAA"/>
    <w:rsid w:val="00A35FF1"/>
    <w:rsid w:val="00A36BF7"/>
    <w:rsid w:val="00A42538"/>
    <w:rsid w:val="00A45168"/>
    <w:rsid w:val="00A455E5"/>
    <w:rsid w:val="00A45AE3"/>
    <w:rsid w:val="00A50F35"/>
    <w:rsid w:val="00A52383"/>
    <w:rsid w:val="00A534B2"/>
    <w:rsid w:val="00A56FFA"/>
    <w:rsid w:val="00A57806"/>
    <w:rsid w:val="00A57C23"/>
    <w:rsid w:val="00A60EAA"/>
    <w:rsid w:val="00A62206"/>
    <w:rsid w:val="00A62EFE"/>
    <w:rsid w:val="00A679F1"/>
    <w:rsid w:val="00A726A8"/>
    <w:rsid w:val="00A83B0A"/>
    <w:rsid w:val="00A91604"/>
    <w:rsid w:val="00A93EB6"/>
    <w:rsid w:val="00AA2BE2"/>
    <w:rsid w:val="00AA47B4"/>
    <w:rsid w:val="00AB1E95"/>
    <w:rsid w:val="00AC07A9"/>
    <w:rsid w:val="00AC3568"/>
    <w:rsid w:val="00AC55B7"/>
    <w:rsid w:val="00AD4263"/>
    <w:rsid w:val="00AF39D0"/>
    <w:rsid w:val="00AF5716"/>
    <w:rsid w:val="00AF7FCD"/>
    <w:rsid w:val="00B0013D"/>
    <w:rsid w:val="00B15644"/>
    <w:rsid w:val="00B21522"/>
    <w:rsid w:val="00B22E70"/>
    <w:rsid w:val="00B268D0"/>
    <w:rsid w:val="00B305C5"/>
    <w:rsid w:val="00B348BF"/>
    <w:rsid w:val="00B4047D"/>
    <w:rsid w:val="00B42173"/>
    <w:rsid w:val="00B55F2F"/>
    <w:rsid w:val="00B57A2B"/>
    <w:rsid w:val="00B61CAE"/>
    <w:rsid w:val="00B661D6"/>
    <w:rsid w:val="00B71A77"/>
    <w:rsid w:val="00B73710"/>
    <w:rsid w:val="00B77CFB"/>
    <w:rsid w:val="00B85275"/>
    <w:rsid w:val="00B9096B"/>
    <w:rsid w:val="00B93D13"/>
    <w:rsid w:val="00BA3A6F"/>
    <w:rsid w:val="00BB3205"/>
    <w:rsid w:val="00BB337E"/>
    <w:rsid w:val="00BC1759"/>
    <w:rsid w:val="00BD584D"/>
    <w:rsid w:val="00BD6CBD"/>
    <w:rsid w:val="00BE0829"/>
    <w:rsid w:val="00BE4CCE"/>
    <w:rsid w:val="00BE4CEE"/>
    <w:rsid w:val="00BE5ED0"/>
    <w:rsid w:val="00BE7F94"/>
    <w:rsid w:val="00BF2891"/>
    <w:rsid w:val="00BF6E5B"/>
    <w:rsid w:val="00C13416"/>
    <w:rsid w:val="00C211A1"/>
    <w:rsid w:val="00C21B74"/>
    <w:rsid w:val="00C22C78"/>
    <w:rsid w:val="00C27D35"/>
    <w:rsid w:val="00C36E9D"/>
    <w:rsid w:val="00C402D0"/>
    <w:rsid w:val="00C45D43"/>
    <w:rsid w:val="00C47FAA"/>
    <w:rsid w:val="00C504CF"/>
    <w:rsid w:val="00C520AF"/>
    <w:rsid w:val="00C5299E"/>
    <w:rsid w:val="00C53522"/>
    <w:rsid w:val="00C57279"/>
    <w:rsid w:val="00C6094C"/>
    <w:rsid w:val="00C65C83"/>
    <w:rsid w:val="00C6646C"/>
    <w:rsid w:val="00C67344"/>
    <w:rsid w:val="00C74A89"/>
    <w:rsid w:val="00C80A8E"/>
    <w:rsid w:val="00C81202"/>
    <w:rsid w:val="00C81BDB"/>
    <w:rsid w:val="00C931C0"/>
    <w:rsid w:val="00C94C4F"/>
    <w:rsid w:val="00CB25AD"/>
    <w:rsid w:val="00CB356E"/>
    <w:rsid w:val="00CB404C"/>
    <w:rsid w:val="00CB488C"/>
    <w:rsid w:val="00CB63A9"/>
    <w:rsid w:val="00CC061A"/>
    <w:rsid w:val="00CC10FC"/>
    <w:rsid w:val="00CC2B4C"/>
    <w:rsid w:val="00CC5159"/>
    <w:rsid w:val="00CD19BA"/>
    <w:rsid w:val="00CD1EFB"/>
    <w:rsid w:val="00CD2B30"/>
    <w:rsid w:val="00CD73A3"/>
    <w:rsid w:val="00CE0322"/>
    <w:rsid w:val="00CE112F"/>
    <w:rsid w:val="00CE4ABC"/>
    <w:rsid w:val="00CE6B26"/>
    <w:rsid w:val="00CF1B41"/>
    <w:rsid w:val="00CF6EC1"/>
    <w:rsid w:val="00D04382"/>
    <w:rsid w:val="00D05E72"/>
    <w:rsid w:val="00D15F66"/>
    <w:rsid w:val="00D166F7"/>
    <w:rsid w:val="00D170D9"/>
    <w:rsid w:val="00D2052F"/>
    <w:rsid w:val="00D209E2"/>
    <w:rsid w:val="00D20D88"/>
    <w:rsid w:val="00D20DA6"/>
    <w:rsid w:val="00D21EC4"/>
    <w:rsid w:val="00D269FB"/>
    <w:rsid w:val="00D31357"/>
    <w:rsid w:val="00D31ED3"/>
    <w:rsid w:val="00D4031F"/>
    <w:rsid w:val="00D5099A"/>
    <w:rsid w:val="00D51447"/>
    <w:rsid w:val="00D54CAE"/>
    <w:rsid w:val="00D65DAE"/>
    <w:rsid w:val="00D72E5A"/>
    <w:rsid w:val="00D74DAF"/>
    <w:rsid w:val="00D75C21"/>
    <w:rsid w:val="00D815CD"/>
    <w:rsid w:val="00D82F10"/>
    <w:rsid w:val="00D832DF"/>
    <w:rsid w:val="00D85CF0"/>
    <w:rsid w:val="00D8628A"/>
    <w:rsid w:val="00D90165"/>
    <w:rsid w:val="00D94C6A"/>
    <w:rsid w:val="00D9749A"/>
    <w:rsid w:val="00D97A0A"/>
    <w:rsid w:val="00DA6308"/>
    <w:rsid w:val="00DA7287"/>
    <w:rsid w:val="00DB02A5"/>
    <w:rsid w:val="00DB3110"/>
    <w:rsid w:val="00DC31ED"/>
    <w:rsid w:val="00DC327A"/>
    <w:rsid w:val="00DC43A2"/>
    <w:rsid w:val="00DD031B"/>
    <w:rsid w:val="00DD0606"/>
    <w:rsid w:val="00DD0833"/>
    <w:rsid w:val="00DD3A6E"/>
    <w:rsid w:val="00DE0DC0"/>
    <w:rsid w:val="00DE7311"/>
    <w:rsid w:val="00DF24D0"/>
    <w:rsid w:val="00DF3EA3"/>
    <w:rsid w:val="00DF4EB3"/>
    <w:rsid w:val="00E07EA1"/>
    <w:rsid w:val="00E1689F"/>
    <w:rsid w:val="00E173D9"/>
    <w:rsid w:val="00E22DE6"/>
    <w:rsid w:val="00E26356"/>
    <w:rsid w:val="00E3050A"/>
    <w:rsid w:val="00E357FB"/>
    <w:rsid w:val="00E40130"/>
    <w:rsid w:val="00E42B76"/>
    <w:rsid w:val="00E5110F"/>
    <w:rsid w:val="00E5262B"/>
    <w:rsid w:val="00E528EE"/>
    <w:rsid w:val="00E5526F"/>
    <w:rsid w:val="00E61B9D"/>
    <w:rsid w:val="00E64E39"/>
    <w:rsid w:val="00E65C64"/>
    <w:rsid w:val="00E66F66"/>
    <w:rsid w:val="00E67E00"/>
    <w:rsid w:val="00E718A0"/>
    <w:rsid w:val="00E735E2"/>
    <w:rsid w:val="00E811F6"/>
    <w:rsid w:val="00E81E99"/>
    <w:rsid w:val="00E83D4E"/>
    <w:rsid w:val="00E858EC"/>
    <w:rsid w:val="00E85FED"/>
    <w:rsid w:val="00E91F59"/>
    <w:rsid w:val="00E94EDB"/>
    <w:rsid w:val="00EA0BE1"/>
    <w:rsid w:val="00EA2243"/>
    <w:rsid w:val="00EA2EFA"/>
    <w:rsid w:val="00EA63BD"/>
    <w:rsid w:val="00EB2C95"/>
    <w:rsid w:val="00EB5EBB"/>
    <w:rsid w:val="00EB7CA3"/>
    <w:rsid w:val="00EC09C0"/>
    <w:rsid w:val="00EC17B4"/>
    <w:rsid w:val="00EC3AC8"/>
    <w:rsid w:val="00EC68A0"/>
    <w:rsid w:val="00ED50FC"/>
    <w:rsid w:val="00EE7890"/>
    <w:rsid w:val="00EF0417"/>
    <w:rsid w:val="00EF461D"/>
    <w:rsid w:val="00EF5288"/>
    <w:rsid w:val="00EF5865"/>
    <w:rsid w:val="00F048BA"/>
    <w:rsid w:val="00F06D4C"/>
    <w:rsid w:val="00F11F29"/>
    <w:rsid w:val="00F149D3"/>
    <w:rsid w:val="00F31B0B"/>
    <w:rsid w:val="00F327F1"/>
    <w:rsid w:val="00F5295F"/>
    <w:rsid w:val="00F52F01"/>
    <w:rsid w:val="00F66F43"/>
    <w:rsid w:val="00F75DFB"/>
    <w:rsid w:val="00F7767B"/>
    <w:rsid w:val="00F802CC"/>
    <w:rsid w:val="00F84298"/>
    <w:rsid w:val="00F846E5"/>
    <w:rsid w:val="00F91255"/>
    <w:rsid w:val="00F91623"/>
    <w:rsid w:val="00F962E0"/>
    <w:rsid w:val="00FA19F6"/>
    <w:rsid w:val="00FA52C7"/>
    <w:rsid w:val="00FB063E"/>
    <w:rsid w:val="00FB143A"/>
    <w:rsid w:val="00FB1D25"/>
    <w:rsid w:val="00FB3B1B"/>
    <w:rsid w:val="00FB3EB5"/>
    <w:rsid w:val="00FB5D25"/>
    <w:rsid w:val="00FC1C7B"/>
    <w:rsid w:val="00FC4E67"/>
    <w:rsid w:val="00FC574C"/>
    <w:rsid w:val="00FC7CB3"/>
    <w:rsid w:val="00FD121F"/>
    <w:rsid w:val="00FD18D4"/>
    <w:rsid w:val="00FD397C"/>
    <w:rsid w:val="00FD445A"/>
    <w:rsid w:val="00FD5748"/>
    <w:rsid w:val="00FD625E"/>
    <w:rsid w:val="00FE06BC"/>
    <w:rsid w:val="00FE765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AF9A"/>
  <w15:docId w15:val="{4A8AEE88-3553-4C46-B974-1C523564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E5C"/>
    <w:rPr>
      <w:rFonts w:eastAsia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5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455E5"/>
    <w:rPr>
      <w:lang w:val="de-D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455E5"/>
    <w:rPr>
      <w:rFonts w:eastAsia="Times New Roman" w:cs="Times New Roman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455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455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60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04FD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04FD"/>
    <w:rPr>
      <w:rFonts w:ascii="Calibri" w:eastAsia="Calibri" w:hAnsi="Calibri" w:cs="Times New Roman"/>
      <w:lang w:val="bg-BG"/>
    </w:rPr>
  </w:style>
  <w:style w:type="character" w:styleId="FootnoteReference">
    <w:name w:val="footnote reference"/>
    <w:basedOn w:val="DefaultParagraphFont"/>
    <w:unhideWhenUsed/>
    <w:rsid w:val="007604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0D385E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65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AE"/>
    <w:rPr>
      <w:rFonts w:eastAsia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AE"/>
    <w:rPr>
      <w:rFonts w:eastAsia="Times New Roman"/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VASarch@bitex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77C01-3675-4B54-BDD1-D6B87C38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10000</CharactersWithSpaces>
  <SharedDoc>false</SharedDoc>
  <HLinks>
    <vt:vector size="48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mailto:e-mailVASarch@bitex.com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http://constcourt.bg/contentframe/contentid/655</vt:lpwstr>
      </vt:variant>
      <vt:variant>
        <vt:lpwstr/>
      </vt:variant>
      <vt:variant>
        <vt:i4>6684790</vt:i4>
      </vt:variant>
      <vt:variant>
        <vt:i4>15</vt:i4>
      </vt:variant>
      <vt:variant>
        <vt:i4>0</vt:i4>
      </vt:variant>
      <vt:variant>
        <vt:i4>5</vt:i4>
      </vt:variant>
      <vt:variant>
        <vt:lpwstr>http://www.sac.government.bg/court22.nsf/d6397429a99ee2afc225661e00383a86/bbfbb9b355da66ffc225751a0053a2e1?OpenDocument</vt:lpwstr>
      </vt:variant>
      <vt:variant>
        <vt:lpwstr/>
      </vt:variant>
      <vt:variant>
        <vt:i4>2293822</vt:i4>
      </vt:variant>
      <vt:variant>
        <vt:i4>12</vt:i4>
      </vt:variant>
      <vt:variant>
        <vt:i4>0</vt:i4>
      </vt:variant>
      <vt:variant>
        <vt:i4>5</vt:i4>
      </vt:variant>
      <vt:variant>
        <vt:lpwstr>http://conventions.coe.int/treaty/en/Treaties/Html/005.htm</vt:lpwstr>
      </vt:variant>
      <vt:variant>
        <vt:lpwstr/>
      </vt:variant>
      <vt:variant>
        <vt:i4>4456510</vt:i4>
      </vt:variant>
      <vt:variant>
        <vt:i4>9</vt:i4>
      </vt:variant>
      <vt:variant>
        <vt:i4>0</vt:i4>
      </vt:variant>
      <vt:variant>
        <vt:i4>5</vt:i4>
      </vt:variant>
      <vt:variant>
        <vt:lpwstr>http://www.echr.coe.int/Documents/Convention_BUL.pdf</vt:lpwstr>
      </vt:variant>
      <vt:variant>
        <vt:lpwstr/>
      </vt:variant>
      <vt:variant>
        <vt:i4>6029370</vt:i4>
      </vt:variant>
      <vt:variant>
        <vt:i4>6</vt:i4>
      </vt:variant>
      <vt:variant>
        <vt:i4>0</vt:i4>
      </vt:variant>
      <vt:variant>
        <vt:i4>5</vt:i4>
      </vt:variant>
      <vt:variant>
        <vt:lpwstr>http://europa.eu/eu-law/decision-making/treaties/pdf/consolidated_versions_of_the_treaty_on_european_union_2012/consolidated_versions_of_the_treaty_on_european_union_2012_bg.pdf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http://curia.europa.eu/juris/document/document.jsf?docid=150642&amp;mode=req&amp;pageIndex=1&amp;dir=&amp;occ=first&amp;part=1&amp;text=&amp;doclang=BG&amp;cid=391709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http://eur-lex.europa.eu/LexUriServ/LexUriServ.do?uri=CELEX:32006L0024:bg:HTML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Ignatova, Sibila (Sofia)</dc:creator>
  <cp:lastModifiedBy>Volen Boyadzhiyski</cp:lastModifiedBy>
  <cp:revision>13</cp:revision>
  <cp:lastPrinted>2018-08-07T05:42:00Z</cp:lastPrinted>
  <dcterms:created xsi:type="dcterms:W3CDTF">2018-07-24T14:22:00Z</dcterms:created>
  <dcterms:modified xsi:type="dcterms:W3CDTF">2018-08-07T05:46:00Z</dcterms:modified>
</cp:coreProperties>
</file>